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23214656" w14:textId="77777777" w:rsidTr="00E56873">
        <w:trPr>
          <w:cantSplit/>
          <w:trHeight w:hRule="exact" w:val="851"/>
        </w:trPr>
        <w:tc>
          <w:tcPr>
            <w:tcW w:w="1276" w:type="dxa"/>
            <w:tcBorders>
              <w:bottom w:val="single" w:sz="4" w:space="0" w:color="auto"/>
            </w:tcBorders>
            <w:vAlign w:val="bottom"/>
          </w:tcPr>
          <w:p w14:paraId="1964E704" w14:textId="77777777" w:rsidR="00B56E9C" w:rsidRPr="00ED616A" w:rsidRDefault="00B56E9C" w:rsidP="00E56873">
            <w:pPr>
              <w:pStyle w:val="SingleTxtG"/>
            </w:pPr>
            <w:bookmarkStart w:id="0" w:name="_GoBack"/>
            <w:bookmarkEnd w:id="0"/>
          </w:p>
        </w:tc>
        <w:tc>
          <w:tcPr>
            <w:tcW w:w="2268" w:type="dxa"/>
            <w:tcBorders>
              <w:bottom w:val="single" w:sz="4" w:space="0" w:color="auto"/>
            </w:tcBorders>
            <w:vAlign w:val="bottom"/>
          </w:tcPr>
          <w:p w14:paraId="4EFF3994" w14:textId="591D114C" w:rsidR="00B56E9C" w:rsidRPr="00B97172" w:rsidRDefault="00B56E9C" w:rsidP="00E56873">
            <w:pPr>
              <w:spacing w:after="80" w:line="300" w:lineRule="exact"/>
              <w:rPr>
                <w:b/>
                <w:sz w:val="24"/>
                <w:szCs w:val="24"/>
              </w:rPr>
            </w:pPr>
          </w:p>
        </w:tc>
        <w:tc>
          <w:tcPr>
            <w:tcW w:w="6095" w:type="dxa"/>
            <w:gridSpan w:val="2"/>
            <w:tcBorders>
              <w:bottom w:val="single" w:sz="4" w:space="0" w:color="auto"/>
            </w:tcBorders>
            <w:vAlign w:val="bottom"/>
          </w:tcPr>
          <w:p w14:paraId="3050B44A" w14:textId="2A11AF86" w:rsidR="00B56E9C" w:rsidRPr="002E51B7" w:rsidRDefault="00302A30" w:rsidP="00302A30">
            <w:pPr>
              <w:jc w:val="right"/>
            </w:pPr>
            <w:r w:rsidRPr="00302A30">
              <w:rPr>
                <w:sz w:val="40"/>
              </w:rPr>
              <w:t>CEDAW</w:t>
            </w:r>
            <w:r w:rsidR="00C46C06">
              <w:t>/C/NER/CO/</w:t>
            </w:r>
            <w:r>
              <w:t>3-4</w:t>
            </w:r>
          </w:p>
        </w:tc>
      </w:tr>
      <w:tr w:rsidR="00B56E9C" w14:paraId="3B21CB97" w14:textId="77777777" w:rsidTr="00E56873">
        <w:trPr>
          <w:cantSplit/>
          <w:trHeight w:hRule="exact" w:val="2835"/>
        </w:trPr>
        <w:tc>
          <w:tcPr>
            <w:tcW w:w="1276" w:type="dxa"/>
            <w:tcBorders>
              <w:top w:val="single" w:sz="4" w:space="0" w:color="auto"/>
              <w:bottom w:val="single" w:sz="12" w:space="0" w:color="auto"/>
            </w:tcBorders>
          </w:tcPr>
          <w:p w14:paraId="4E9427B5" w14:textId="5B2C9A01" w:rsidR="00B56E9C" w:rsidRDefault="00B56E9C" w:rsidP="00E56873">
            <w:pPr>
              <w:spacing w:before="120"/>
              <w:jc w:val="center"/>
            </w:pPr>
          </w:p>
        </w:tc>
        <w:tc>
          <w:tcPr>
            <w:tcW w:w="5528" w:type="dxa"/>
            <w:gridSpan w:val="2"/>
            <w:tcBorders>
              <w:top w:val="single" w:sz="4" w:space="0" w:color="auto"/>
              <w:bottom w:val="single" w:sz="12" w:space="0" w:color="auto"/>
            </w:tcBorders>
          </w:tcPr>
          <w:p w14:paraId="17434449" w14:textId="77777777" w:rsidR="00B56E9C" w:rsidRDefault="00B56E9C" w:rsidP="00E56873">
            <w:pPr>
              <w:spacing w:before="120" w:line="420" w:lineRule="exact"/>
            </w:pPr>
          </w:p>
        </w:tc>
        <w:tc>
          <w:tcPr>
            <w:tcW w:w="2835" w:type="dxa"/>
            <w:tcBorders>
              <w:top w:val="single" w:sz="4" w:space="0" w:color="auto"/>
              <w:bottom w:val="single" w:sz="12" w:space="0" w:color="auto"/>
            </w:tcBorders>
          </w:tcPr>
          <w:p w14:paraId="0A9F61E4" w14:textId="777EAE35" w:rsidR="00B56E9C" w:rsidRDefault="00C46C06" w:rsidP="00302A30">
            <w:pPr>
              <w:spacing w:before="240" w:line="240" w:lineRule="exact"/>
            </w:pPr>
            <w:r>
              <w:t>Distr.: General</w:t>
            </w:r>
          </w:p>
          <w:p w14:paraId="1F7B123D" w14:textId="7354D7BF" w:rsidR="00302A30" w:rsidRDefault="00F02042" w:rsidP="00302A30">
            <w:pPr>
              <w:spacing w:line="240" w:lineRule="exact"/>
            </w:pPr>
            <w:r>
              <w:t xml:space="preserve">21 </w:t>
            </w:r>
            <w:r w:rsidR="00302A30">
              <w:t>July 2017</w:t>
            </w:r>
          </w:p>
          <w:p w14:paraId="4F7780A8" w14:textId="77777777" w:rsidR="00302A30" w:rsidRDefault="00302A30" w:rsidP="00302A30">
            <w:pPr>
              <w:spacing w:line="240" w:lineRule="exact"/>
            </w:pPr>
          </w:p>
          <w:p w14:paraId="16686F68" w14:textId="77777777" w:rsidR="00302A30" w:rsidRDefault="00302A30" w:rsidP="00302A30">
            <w:pPr>
              <w:spacing w:line="240" w:lineRule="exact"/>
            </w:pPr>
            <w:r>
              <w:t>Original: English</w:t>
            </w:r>
          </w:p>
          <w:p w14:paraId="3F86B5F5" w14:textId="77777777" w:rsidR="005320D3" w:rsidRDefault="005320D3" w:rsidP="005320D3">
            <w:pPr>
              <w:spacing w:line="240" w:lineRule="exact"/>
            </w:pPr>
          </w:p>
          <w:p w14:paraId="2DFF554B" w14:textId="77777777" w:rsidR="005320D3" w:rsidRDefault="005320D3" w:rsidP="005320D3">
            <w:pPr>
              <w:spacing w:line="240" w:lineRule="exact"/>
            </w:pPr>
          </w:p>
          <w:p w14:paraId="368F8659" w14:textId="3777D731" w:rsidR="005320D3" w:rsidRDefault="005320D3" w:rsidP="005320D3">
            <w:pPr>
              <w:spacing w:line="240" w:lineRule="exact"/>
            </w:pPr>
            <w:r>
              <w:rPr>
                <w:b/>
                <w:bCs/>
                <w:sz w:val="18"/>
                <w:szCs w:val="18"/>
                <w:u w:val="single"/>
              </w:rPr>
              <w:t>ADVANCE UNEDITED VERSION</w:t>
            </w:r>
          </w:p>
        </w:tc>
      </w:tr>
    </w:tbl>
    <w:p w14:paraId="1A8C2FBB" w14:textId="77777777" w:rsidR="00302A30" w:rsidRPr="00BC4E26" w:rsidRDefault="00302A30" w:rsidP="00302A30">
      <w:pPr>
        <w:pStyle w:val="H1"/>
        <w:ind w:left="0" w:right="1260" w:firstLine="0"/>
      </w:pPr>
      <w:r w:rsidRPr="00BC4E26">
        <w:t>Committee on the Elimination of Discrimination</w:t>
      </w:r>
      <w:r w:rsidRPr="00BC4E26">
        <w:br/>
        <w:t>against Women</w:t>
      </w:r>
    </w:p>
    <w:p w14:paraId="2C665070" w14:textId="4692CEF4" w:rsidR="00302A30" w:rsidRDefault="00302A30" w:rsidP="00302A30">
      <w:pPr>
        <w:keepNext/>
        <w:keepLines/>
        <w:tabs>
          <w:tab w:val="right" w:pos="851"/>
        </w:tabs>
        <w:spacing w:before="360" w:after="240" w:line="300" w:lineRule="exact"/>
        <w:ind w:left="1134" w:right="1134" w:hanging="1134"/>
        <w:rPr>
          <w:b/>
          <w:sz w:val="28"/>
        </w:rPr>
      </w:pPr>
      <w:r>
        <w:rPr>
          <w:b/>
          <w:sz w:val="28"/>
        </w:rPr>
        <w:tab/>
      </w:r>
      <w:r>
        <w:rPr>
          <w:b/>
          <w:sz w:val="28"/>
        </w:rPr>
        <w:tab/>
        <w:t>Concluding observations on the combined third and fourth periodic reports of Niger</w:t>
      </w:r>
      <w:r w:rsidR="00C46C06" w:rsidRPr="00C46C06">
        <w:rPr>
          <w:rStyle w:val="FootnoteReference"/>
          <w:b/>
          <w:sz w:val="20"/>
          <w:vertAlign w:val="baseline"/>
        </w:rPr>
        <w:footnoteReference w:customMarkFollows="1" w:id="2"/>
        <w:t>*</w:t>
      </w:r>
    </w:p>
    <w:p w14:paraId="703346A6" w14:textId="76F710D6" w:rsidR="00EE6E3F" w:rsidRPr="00CE44C6" w:rsidRDefault="00EE6E3F" w:rsidP="00EE6E3F">
      <w:pPr>
        <w:pStyle w:val="SingleTxtG"/>
      </w:pPr>
      <w:r w:rsidRPr="00646804">
        <w:t>1.</w:t>
      </w:r>
      <w:r w:rsidRPr="00646804">
        <w:tab/>
        <w:t>The Committee considered the combined third and fourth periodic reports of Niger (CEDAW/C/NER/3-4) at its 1</w:t>
      </w:r>
      <w:r w:rsidR="00646804" w:rsidRPr="00646804">
        <w:t>516</w:t>
      </w:r>
      <w:r w:rsidRPr="00646804">
        <w:t xml:space="preserve">th and </w:t>
      </w:r>
      <w:r w:rsidR="00646804" w:rsidRPr="00646804">
        <w:t>1517</w:t>
      </w:r>
      <w:r w:rsidRPr="00646804">
        <w:t>th meetings, on 13 July 2017 (see CEDAW/C/SR.</w:t>
      </w:r>
      <w:r w:rsidR="00646804" w:rsidRPr="00646804">
        <w:t>1516 and 1517</w:t>
      </w:r>
      <w:r w:rsidRPr="00646804">
        <w:t>). The Committee’s list of issues and</w:t>
      </w:r>
      <w:r w:rsidRPr="000D785D">
        <w:t xml:space="preserve"> questions are contained in CEDAW/C/</w:t>
      </w:r>
      <w:r>
        <w:t>NER</w:t>
      </w:r>
      <w:r w:rsidRPr="000D785D">
        <w:t>/Q/</w:t>
      </w:r>
      <w:r>
        <w:t>3-4</w:t>
      </w:r>
      <w:r w:rsidRPr="000D785D">
        <w:t xml:space="preserve"> and the responses of </w:t>
      </w:r>
      <w:r>
        <w:t>Niger</w:t>
      </w:r>
      <w:r w:rsidRPr="000D785D">
        <w:t xml:space="preserve"> are contained in CEDAW/C/</w:t>
      </w:r>
      <w:r>
        <w:t>NER</w:t>
      </w:r>
      <w:r w:rsidRPr="000D785D">
        <w:t>/Q/</w:t>
      </w:r>
      <w:r>
        <w:t>3-4</w:t>
      </w:r>
      <w:r w:rsidRPr="000D785D">
        <w:t>/Add.1.</w:t>
      </w:r>
    </w:p>
    <w:p w14:paraId="7A2A547F" w14:textId="77777777" w:rsidR="00EE6E3F" w:rsidRPr="00CE44C6" w:rsidRDefault="00EE6E3F" w:rsidP="00EE6E3F">
      <w:pPr>
        <w:pStyle w:val="H1G"/>
        <w:rPr>
          <w:lang w:val="en-US"/>
        </w:rPr>
      </w:pPr>
      <w:r w:rsidRPr="00CE44C6">
        <w:rPr>
          <w:lang w:val="en-US"/>
        </w:rPr>
        <w:tab/>
        <w:t>A.</w:t>
      </w:r>
      <w:r w:rsidRPr="00CE44C6">
        <w:rPr>
          <w:lang w:val="en-US"/>
        </w:rPr>
        <w:tab/>
        <w:t>Introduction</w:t>
      </w:r>
    </w:p>
    <w:p w14:paraId="44F898A1" w14:textId="0C9399A5" w:rsidR="00EE6E3F" w:rsidRPr="005D30A1" w:rsidRDefault="00EE6E3F" w:rsidP="00EE6E3F">
      <w:pPr>
        <w:pStyle w:val="SingleTxtG"/>
        <w:rPr>
          <w:i/>
        </w:rPr>
      </w:pPr>
      <w:r w:rsidRPr="00CE44C6">
        <w:t>2.</w:t>
      </w:r>
      <w:r w:rsidRPr="00CE44C6">
        <w:tab/>
        <w:t xml:space="preserve">The Committee appreciates the </w:t>
      </w:r>
      <w:r w:rsidR="00D437D3">
        <w:t xml:space="preserve">submission of the </w:t>
      </w:r>
      <w:r w:rsidRPr="00CE44C6">
        <w:t xml:space="preserve">State party </w:t>
      </w:r>
      <w:r w:rsidR="00D437D3">
        <w:t>of</w:t>
      </w:r>
      <w:r w:rsidR="00D437D3" w:rsidRPr="00CE44C6">
        <w:t xml:space="preserve"> </w:t>
      </w:r>
      <w:r w:rsidRPr="00CE44C6">
        <w:t>its combined third and fourth periodic reports. It also appreciates the State party’s written replies to the list of issues and questions raised by its pre-sessional working group</w:t>
      </w:r>
      <w:r w:rsidR="00D437D3">
        <w:t xml:space="preserve">, as well as </w:t>
      </w:r>
      <w:r w:rsidRPr="00CE44C6">
        <w:t>the oral presentation</w:t>
      </w:r>
      <w:r w:rsidR="00D437D3">
        <w:t xml:space="preserve"> by</w:t>
      </w:r>
      <w:r w:rsidR="00D437D3" w:rsidRPr="00CE44C6">
        <w:t xml:space="preserve"> the delegation</w:t>
      </w:r>
      <w:r w:rsidR="00782128">
        <w:t xml:space="preserve"> </w:t>
      </w:r>
      <w:r w:rsidR="00782128" w:rsidRPr="00782128">
        <w:t>and the further clarifications provided in response to the questions posed orally by the Committee during the dialogue</w:t>
      </w:r>
      <w:r w:rsidR="00025A64">
        <w:t>.</w:t>
      </w:r>
    </w:p>
    <w:p w14:paraId="10042225" w14:textId="6E18CF64" w:rsidR="00EE6E3F" w:rsidRPr="00725BBB" w:rsidRDefault="00EE6E3F" w:rsidP="00EE6E3F">
      <w:pPr>
        <w:pStyle w:val="SingleTxtG"/>
      </w:pPr>
      <w:r w:rsidRPr="00F02042">
        <w:t>3.</w:t>
      </w:r>
      <w:r w:rsidRPr="00F02042">
        <w:tab/>
      </w:r>
      <w:r w:rsidRPr="00CE44C6">
        <w:t xml:space="preserve">The Committee </w:t>
      </w:r>
      <w:r w:rsidRPr="009B7855">
        <w:t>commends the State party</w:t>
      </w:r>
      <w:r w:rsidR="0075018C">
        <w:t xml:space="preserve"> on its high-level</w:t>
      </w:r>
      <w:r w:rsidRPr="009B7855">
        <w:t xml:space="preserve"> delegation</w:t>
      </w:r>
      <w:r w:rsidR="0075018C">
        <w:t>,</w:t>
      </w:r>
      <w:r w:rsidRPr="009B7855">
        <w:t xml:space="preserve"> which was headed by </w:t>
      </w:r>
      <w:r w:rsidR="00F416ED">
        <w:t xml:space="preserve">Her Excellency </w:t>
      </w:r>
      <w:r w:rsidRPr="009B7855">
        <w:t>El Bac</w:t>
      </w:r>
      <w:r w:rsidR="0027350F">
        <w:t xml:space="preserve">k Zeinabou Tari Bako, Minister </w:t>
      </w:r>
      <w:r w:rsidRPr="009B7855">
        <w:t>f</w:t>
      </w:r>
      <w:r w:rsidR="0027350F">
        <w:t>or</w:t>
      </w:r>
      <w:r w:rsidRPr="009B7855">
        <w:t xml:space="preserve"> the Advancement of Women and Protection of Children,</w:t>
      </w:r>
      <w:r w:rsidRPr="005D30A1">
        <w:rPr>
          <w:i/>
        </w:rPr>
        <w:t xml:space="preserve"> </w:t>
      </w:r>
      <w:r w:rsidRPr="009B7855">
        <w:t>and included representatives of</w:t>
      </w:r>
      <w:r>
        <w:t xml:space="preserve"> </w:t>
      </w:r>
      <w:r w:rsidR="0075018C">
        <w:t>the</w:t>
      </w:r>
      <w:r w:rsidR="0027350F">
        <w:t xml:space="preserve"> Minist</w:t>
      </w:r>
      <w:r w:rsidR="0027350F" w:rsidRPr="009B7855">
        <w:t>r</w:t>
      </w:r>
      <w:r w:rsidR="0027350F">
        <w:t>y</w:t>
      </w:r>
      <w:r w:rsidR="0075018C">
        <w:t xml:space="preserve"> </w:t>
      </w:r>
      <w:r w:rsidR="0075018C" w:rsidRPr="009B7855">
        <w:t>f</w:t>
      </w:r>
      <w:r w:rsidR="0075018C">
        <w:t>or</w:t>
      </w:r>
      <w:r w:rsidR="0075018C" w:rsidRPr="009B7855">
        <w:t xml:space="preserve"> the Advancement of Women and Protection of Children</w:t>
      </w:r>
      <w:r w:rsidR="0027350F">
        <w:t>,</w:t>
      </w:r>
      <w:r>
        <w:t xml:space="preserve"> </w:t>
      </w:r>
      <w:r w:rsidR="0027350F">
        <w:t xml:space="preserve">the Ministry of Justice, the </w:t>
      </w:r>
      <w:r>
        <w:t>Inter-Ministerial Com</w:t>
      </w:r>
      <w:r w:rsidR="0027350F">
        <w:t>mittee on treaty body reporting</w:t>
      </w:r>
      <w:r>
        <w:t xml:space="preserve">, and of the Mission of Niger to the United Nations Office </w:t>
      </w:r>
      <w:r w:rsidR="00F416ED">
        <w:t>and other international organizations in</w:t>
      </w:r>
      <w:r>
        <w:t xml:space="preserve"> Geneva.</w:t>
      </w:r>
      <w:r w:rsidR="00F416ED">
        <w:t xml:space="preserve"> </w:t>
      </w:r>
    </w:p>
    <w:p w14:paraId="099EAE20" w14:textId="7E49CF00" w:rsidR="00EE6E3F" w:rsidRPr="007452CC" w:rsidRDefault="00EE6E3F" w:rsidP="00EE6E3F">
      <w:pPr>
        <w:pStyle w:val="H1G"/>
        <w:rPr>
          <w:i/>
        </w:rPr>
      </w:pPr>
      <w:r w:rsidRPr="00CE44C6">
        <w:tab/>
        <w:t>B.</w:t>
      </w:r>
      <w:r w:rsidRPr="00CE44C6">
        <w:tab/>
        <w:t>Positive Aspects</w:t>
      </w:r>
      <w:r w:rsidR="007452CC">
        <w:t xml:space="preserve"> </w:t>
      </w:r>
    </w:p>
    <w:p w14:paraId="278ABC72" w14:textId="77777777" w:rsidR="00EE6E3F" w:rsidRPr="00CE44C6" w:rsidRDefault="00EE6E3F" w:rsidP="00EE6E3F">
      <w:pPr>
        <w:pStyle w:val="SingleTxtG"/>
      </w:pPr>
      <w:r w:rsidRPr="00CE44C6">
        <w:t>4.</w:t>
      </w:r>
      <w:r w:rsidRPr="00CE44C6">
        <w:tab/>
      </w:r>
      <w:r w:rsidRPr="00CE44C6">
        <w:rPr>
          <w:spacing w:val="2"/>
        </w:rPr>
        <w:t>The Committee welcomes the progress achieved since the consideration in 2007</w:t>
      </w:r>
      <w:r w:rsidRPr="00CE44C6">
        <w:t xml:space="preserve"> of the State party’s second periodic report (CEDAW/C/NER/</w:t>
      </w:r>
      <w:r>
        <w:t>CO/</w:t>
      </w:r>
      <w:r w:rsidRPr="00CE44C6">
        <w:t xml:space="preserve">2) in undertaking legislative reforms, in particular the adoption of: </w:t>
      </w:r>
    </w:p>
    <w:p w14:paraId="106C2B72" w14:textId="572C8D0D" w:rsidR="00EE6E3F" w:rsidRPr="00532A69" w:rsidRDefault="00EE6E3F" w:rsidP="00EE6E3F">
      <w:pPr>
        <w:pStyle w:val="SingleTxtG"/>
        <w:ind w:firstLine="567"/>
      </w:pPr>
      <w:r w:rsidRPr="00532A69">
        <w:t>(</w:t>
      </w:r>
      <w:r w:rsidR="00D137C0">
        <w:t>a</w:t>
      </w:r>
      <w:r w:rsidRPr="00532A69">
        <w:t>)</w:t>
      </w:r>
      <w:r w:rsidRPr="00532A69">
        <w:tab/>
        <w:t>The Constitution of 25 November 2010, enshrining</w:t>
      </w:r>
      <w:r w:rsidR="00A01513">
        <w:t xml:space="preserve">, </w:t>
      </w:r>
      <w:r w:rsidR="00A01513" w:rsidRPr="00A01513">
        <w:rPr>
          <w:i/>
        </w:rPr>
        <w:t>inter alia</w:t>
      </w:r>
      <w:r w:rsidR="00A01513">
        <w:t>,</w:t>
      </w:r>
      <w:r w:rsidRPr="00532A69">
        <w:t xml:space="preserve"> equality before the law without distinction on grounds of sex </w:t>
      </w:r>
      <w:r w:rsidR="00A01513">
        <w:t>(art. 8)</w:t>
      </w:r>
      <w:r w:rsidRPr="00532A69">
        <w:t xml:space="preserve">, and </w:t>
      </w:r>
      <w:r w:rsidR="00E16458">
        <w:t xml:space="preserve">further </w:t>
      </w:r>
      <w:r w:rsidRPr="00532A69">
        <w:t>pledg</w:t>
      </w:r>
      <w:r>
        <w:t>ing</w:t>
      </w:r>
      <w:r w:rsidRPr="00532A69">
        <w:t xml:space="preserve"> to eliminate all forms of discrimination against women, girl</w:t>
      </w:r>
      <w:r w:rsidR="00E16458">
        <w:t>s and persons with disabilities</w:t>
      </w:r>
      <w:r w:rsidR="00F127A1">
        <w:t xml:space="preserve"> </w:t>
      </w:r>
      <w:r w:rsidRPr="00532A69">
        <w:t>(art. 22);</w:t>
      </w:r>
    </w:p>
    <w:p w14:paraId="20CB7993" w14:textId="3AF29C09" w:rsidR="00EE6E3F" w:rsidRPr="00184905" w:rsidRDefault="00D137C0" w:rsidP="00EE6E3F">
      <w:pPr>
        <w:pStyle w:val="SingleTxtG"/>
        <w:ind w:firstLine="567"/>
      </w:pPr>
      <w:r>
        <w:t>(b</w:t>
      </w:r>
      <w:r w:rsidR="00EE6E3F" w:rsidRPr="00184905">
        <w:t>)</w:t>
      </w:r>
      <w:r w:rsidR="00EE6E3F" w:rsidRPr="00184905">
        <w:tab/>
      </w:r>
      <w:r w:rsidR="00EE6E3F">
        <w:t xml:space="preserve">Law No. </w:t>
      </w:r>
      <w:r w:rsidR="00EE6E3F" w:rsidRPr="00184905">
        <w:t>2014-</w:t>
      </w:r>
      <w:r w:rsidR="00EE6E3F">
        <w:t>60</w:t>
      </w:r>
      <w:r w:rsidR="00EE6E3F" w:rsidRPr="00184905">
        <w:t xml:space="preserve"> of 5 November 2014 relating to the Nationality Code, </w:t>
      </w:r>
      <w:r w:rsidR="00EE6E3F">
        <w:t>allowing</w:t>
      </w:r>
      <w:r w:rsidR="00EE6E3F" w:rsidRPr="00184905">
        <w:t xml:space="preserve"> women to </w:t>
      </w:r>
      <w:r w:rsidR="00EE6E3F">
        <w:t>transfer Nigerien citizenship through marriage and introducing the possibility of dual citizenship</w:t>
      </w:r>
      <w:r w:rsidR="00EE6E3F" w:rsidRPr="00184905">
        <w:t>;</w:t>
      </w:r>
    </w:p>
    <w:p w14:paraId="3903C8FB" w14:textId="5B89468B" w:rsidR="00EE6E3F" w:rsidRPr="00532A69" w:rsidRDefault="00D137C0" w:rsidP="00EE6E3F">
      <w:pPr>
        <w:pStyle w:val="SingleTxtG"/>
        <w:ind w:firstLine="567"/>
      </w:pPr>
      <w:r>
        <w:t>(c</w:t>
      </w:r>
      <w:r w:rsidR="00EE6E3F" w:rsidRPr="00532A69">
        <w:t>)</w:t>
      </w:r>
      <w:r w:rsidR="00EE6E3F" w:rsidRPr="00532A69">
        <w:tab/>
      </w:r>
      <w:r w:rsidR="00EE6E3F">
        <w:t>Law No. 2014-64 of 5 November 2014 amending</w:t>
      </w:r>
      <w:r w:rsidR="00EE6E3F" w:rsidRPr="00532A69">
        <w:t xml:space="preserve"> the Quota Act </w:t>
      </w:r>
      <w:r w:rsidR="00EE6E3F">
        <w:t>(</w:t>
      </w:r>
      <w:r w:rsidR="00EE6E3F" w:rsidRPr="004677DC">
        <w:t>No. 2000-008</w:t>
      </w:r>
      <w:r w:rsidR="00EE6E3F">
        <w:t xml:space="preserve"> of 7 June 2000) </w:t>
      </w:r>
      <w:r w:rsidR="00EE6E3F" w:rsidRPr="00532A69">
        <w:t>to raise</w:t>
      </w:r>
      <w:r w:rsidR="00EE6E3F">
        <w:t>,</w:t>
      </w:r>
      <w:r w:rsidR="00EE6E3F" w:rsidRPr="00532A69">
        <w:t xml:space="preserve"> from 10 to 15 per cent</w:t>
      </w:r>
      <w:r w:rsidR="00EE6E3F">
        <w:t>,</w:t>
      </w:r>
      <w:r w:rsidR="00EE6E3F" w:rsidRPr="00532A69">
        <w:t xml:space="preserve"> the quota for both sexes in elected </w:t>
      </w:r>
      <w:r w:rsidR="00F416ED">
        <w:t>office</w:t>
      </w:r>
      <w:r w:rsidR="00EE6E3F" w:rsidRPr="00532A69">
        <w:t>;</w:t>
      </w:r>
    </w:p>
    <w:p w14:paraId="61421116" w14:textId="53ADAFC4" w:rsidR="00EE6E3F" w:rsidRDefault="00D137C0" w:rsidP="00EE6E3F">
      <w:pPr>
        <w:pStyle w:val="SingleTxtG"/>
        <w:ind w:firstLine="567"/>
      </w:pPr>
      <w:r>
        <w:lastRenderedPageBreak/>
        <w:t>(d</w:t>
      </w:r>
      <w:r w:rsidR="00EE6E3F" w:rsidRPr="008D5BB6">
        <w:t>)</w:t>
      </w:r>
      <w:r w:rsidR="00EE6E3F" w:rsidRPr="008D5BB6">
        <w:tab/>
      </w:r>
      <w:r w:rsidR="00FE4A0C" w:rsidRPr="00CC5423">
        <w:t>Act No. 2012-45 of 25 September 2012</w:t>
      </w:r>
      <w:r w:rsidR="00FE4A0C">
        <w:t>, a</w:t>
      </w:r>
      <w:r w:rsidR="00EE6E3F" w:rsidRPr="008D5BB6">
        <w:t>mend</w:t>
      </w:r>
      <w:r w:rsidR="00FE4A0C">
        <w:t>ing</w:t>
      </w:r>
      <w:r w:rsidR="00EE6E3F" w:rsidRPr="00CC5423">
        <w:t xml:space="preserve"> the</w:t>
      </w:r>
      <w:r w:rsidR="00EE6E3F">
        <w:t xml:space="preserve"> Labour Code </w:t>
      </w:r>
      <w:r w:rsidR="00EE6E3F" w:rsidRPr="00CC5423">
        <w:t>by</w:t>
      </w:r>
      <w:r>
        <w:t xml:space="preserve">, </w:t>
      </w:r>
      <w:r w:rsidR="00FE4A0C" w:rsidRPr="00FE4A0C">
        <w:rPr>
          <w:i/>
        </w:rPr>
        <w:t>inter alia</w:t>
      </w:r>
      <w:r w:rsidR="00FE4A0C">
        <w:t xml:space="preserve">, </w:t>
      </w:r>
      <w:r w:rsidR="00EE6E3F">
        <w:t>extending the list of prohi</w:t>
      </w:r>
      <w:r w:rsidR="007452CC">
        <w:t>bited grounds of discrimination</w:t>
      </w:r>
      <w:r w:rsidR="00EE6E3F" w:rsidRPr="00CC5423">
        <w:t xml:space="preserve">, increasing the penalties </w:t>
      </w:r>
      <w:r w:rsidR="00616471">
        <w:t>for</w:t>
      </w:r>
      <w:r w:rsidR="00EE6E3F" w:rsidRPr="00CC5423">
        <w:t xml:space="preserve"> discrimination</w:t>
      </w:r>
      <w:r w:rsidR="00EE6E3F" w:rsidRPr="008D5BB6">
        <w:t xml:space="preserve">, and prohibiting </w:t>
      </w:r>
      <w:r w:rsidR="007452CC">
        <w:t>sexual harassment</w:t>
      </w:r>
      <w:r w:rsidR="00062864">
        <w:t xml:space="preserve"> </w:t>
      </w:r>
      <w:r w:rsidR="00616471">
        <w:t>in the workplace</w:t>
      </w:r>
      <w:r>
        <w:t>;</w:t>
      </w:r>
      <w:r w:rsidR="007034E5">
        <w:t xml:space="preserve"> and,</w:t>
      </w:r>
    </w:p>
    <w:p w14:paraId="3E9652E8" w14:textId="1579F768" w:rsidR="00FE4A0C" w:rsidRPr="00EC1D30" w:rsidRDefault="00E92227" w:rsidP="00EC1D30">
      <w:pPr>
        <w:pStyle w:val="SingleTxtG"/>
        <w:ind w:firstLine="567"/>
      </w:pPr>
      <w:r>
        <w:t>(e</w:t>
      </w:r>
      <w:r w:rsidR="00FE4A0C" w:rsidRPr="00EC1D30">
        <w:t>)</w:t>
      </w:r>
      <w:r w:rsidR="00FE4A0C" w:rsidRPr="00EC1D30">
        <w:tab/>
      </w:r>
      <w:r w:rsidR="00EC1D30">
        <w:t>Order</w:t>
      </w:r>
      <w:r w:rsidR="00EC1D30" w:rsidRPr="00FE4A0C">
        <w:t xml:space="preserve"> No. 2010-086/P/CSRD/MJ/DH of 16 December 2010 on combating trafficking in persons</w:t>
      </w:r>
      <w:r w:rsidR="00F40054">
        <w:t xml:space="preserve">, and as updated by </w:t>
      </w:r>
      <w:r w:rsidR="00F40054" w:rsidRPr="00F40054">
        <w:t>Act</w:t>
      </w:r>
      <w:r w:rsidR="00F40054">
        <w:t xml:space="preserve"> No. 2015-36 of 26 May 2015 on </w:t>
      </w:r>
      <w:r w:rsidR="00F970A9">
        <w:t>prohibiting</w:t>
      </w:r>
      <w:r w:rsidR="00F40054" w:rsidRPr="00F40054">
        <w:t xml:space="preserve"> migrant </w:t>
      </w:r>
      <w:r w:rsidR="00F970A9">
        <w:t>trafficking</w:t>
      </w:r>
      <w:r w:rsidR="00F40054">
        <w:t>.</w:t>
      </w:r>
    </w:p>
    <w:p w14:paraId="59344100" w14:textId="6C1A6699" w:rsidR="00FE4A0C" w:rsidRPr="00A537ED" w:rsidRDefault="00EE6E3F" w:rsidP="00A537ED">
      <w:pPr>
        <w:pStyle w:val="SingleTxtG"/>
        <w:rPr>
          <w:i/>
        </w:rPr>
      </w:pPr>
      <w:r w:rsidRPr="00F02042">
        <w:t>5.</w:t>
      </w:r>
      <w:r w:rsidRPr="00F02042">
        <w:tab/>
      </w:r>
      <w:r w:rsidRPr="00CE44C6">
        <w:t xml:space="preserve">The Committee welcomes the State party’s efforts to improve its institutional </w:t>
      </w:r>
      <w:r w:rsidRPr="00CE44C6">
        <w:rPr>
          <w:spacing w:val="2"/>
        </w:rPr>
        <w:t>and policy framework aimed at accelerating the elimination of discrimination against</w:t>
      </w:r>
      <w:r w:rsidRPr="00CE44C6">
        <w:t xml:space="preserve"> women and promoting gender equality, such as:</w:t>
      </w:r>
    </w:p>
    <w:p w14:paraId="44AE91F7" w14:textId="68D78279" w:rsidR="00D137C0" w:rsidRDefault="00F02042" w:rsidP="00FE4A0C">
      <w:pPr>
        <w:pStyle w:val="SingleTxtG"/>
        <w:ind w:firstLine="567"/>
      </w:pPr>
      <w:r>
        <w:t>(a</w:t>
      </w:r>
      <w:r w:rsidR="00D137C0">
        <w:t>)</w:t>
      </w:r>
      <w:r w:rsidR="00D137C0">
        <w:tab/>
      </w:r>
      <w:r w:rsidR="00616471">
        <w:t>The e</w:t>
      </w:r>
      <w:r w:rsidR="00D137C0" w:rsidRPr="00B362A0">
        <w:t xml:space="preserve">stablishment of the National Human Rights Commission </w:t>
      </w:r>
      <w:r w:rsidR="00D137C0" w:rsidRPr="00773282">
        <w:t xml:space="preserve">through Act No. 2012-44 of 24 August 2012, in line with the Principles relating to the status of national institutions for the promotion and protection of </w:t>
      </w:r>
      <w:r w:rsidR="00D137C0">
        <w:t>human rights (Paris Principles)</w:t>
      </w:r>
      <w:r w:rsidR="00A537ED">
        <w:t>, with the mandate to, inter alia, promote and protect women’s rights</w:t>
      </w:r>
      <w:r w:rsidR="00D137C0">
        <w:t>;</w:t>
      </w:r>
    </w:p>
    <w:p w14:paraId="782278F5" w14:textId="7D52D16F" w:rsidR="00D137C0" w:rsidRDefault="00D137C0" w:rsidP="00D137C0">
      <w:pPr>
        <w:pStyle w:val="SingleTxtG"/>
        <w:ind w:firstLine="567"/>
      </w:pPr>
      <w:r w:rsidRPr="00B362A0">
        <w:t>(</w:t>
      </w:r>
      <w:r w:rsidR="00F02042">
        <w:t>b</w:t>
      </w:r>
      <w:r w:rsidRPr="00B362A0">
        <w:t>)</w:t>
      </w:r>
      <w:r w:rsidRPr="00B362A0">
        <w:tab/>
      </w:r>
      <w:r w:rsidR="00616471">
        <w:t>The e</w:t>
      </w:r>
      <w:r>
        <w:t>stablish</w:t>
      </w:r>
      <w:r w:rsidR="004F516C">
        <w:t xml:space="preserve">ment of the </w:t>
      </w:r>
      <w:r w:rsidR="004F516C" w:rsidRPr="00B362A0">
        <w:t>National</w:t>
      </w:r>
      <w:r w:rsidR="004F516C">
        <w:t xml:space="preserve"> Coordinating Committee and </w:t>
      </w:r>
      <w:r w:rsidRPr="00B362A0">
        <w:t>the National Agency for Combating Trafficking</w:t>
      </w:r>
      <w:r>
        <w:t xml:space="preserve"> in Persons</w:t>
      </w:r>
      <w:r w:rsidR="004F516C">
        <w:t xml:space="preserve"> by </w:t>
      </w:r>
      <w:r w:rsidR="004F516C" w:rsidRPr="00B362A0">
        <w:t>Decree</w:t>
      </w:r>
      <w:r w:rsidR="004F516C">
        <w:t>s</w:t>
      </w:r>
      <w:r w:rsidR="004F516C" w:rsidRPr="00B362A0">
        <w:t xml:space="preserve"> No. 2012-083</w:t>
      </w:r>
      <w:r w:rsidR="004F516C">
        <w:t xml:space="preserve">/PRN/MJ and </w:t>
      </w:r>
      <w:r w:rsidR="00616471">
        <w:t xml:space="preserve">No. </w:t>
      </w:r>
      <w:r w:rsidR="004F516C">
        <w:t>2012-082/PRN/MJ</w:t>
      </w:r>
      <w:r w:rsidR="00616471">
        <w:t>, respectively,</w:t>
      </w:r>
      <w:r w:rsidR="004F516C">
        <w:t xml:space="preserve"> </w:t>
      </w:r>
      <w:r w:rsidR="00616471">
        <w:t>in</w:t>
      </w:r>
      <w:r w:rsidR="004F516C">
        <w:t xml:space="preserve"> 2012;</w:t>
      </w:r>
    </w:p>
    <w:p w14:paraId="5D87531A" w14:textId="31DE0B8E" w:rsidR="00D137C0" w:rsidRDefault="00F02042" w:rsidP="00D137C0">
      <w:pPr>
        <w:pStyle w:val="SingleTxtG"/>
        <w:ind w:firstLine="567"/>
      </w:pPr>
      <w:r>
        <w:t>(c</w:t>
      </w:r>
      <w:r w:rsidR="00D137C0">
        <w:t>)</w:t>
      </w:r>
      <w:r w:rsidR="00D137C0">
        <w:tab/>
      </w:r>
      <w:r w:rsidR="00616471">
        <w:t>The c</w:t>
      </w:r>
      <w:r w:rsidR="00D137C0">
        <w:t>reati</w:t>
      </w:r>
      <w:r w:rsidR="004F516C">
        <w:t>on of</w:t>
      </w:r>
      <w:r w:rsidR="00D137C0">
        <w:t xml:space="preserve"> </w:t>
      </w:r>
      <w:r w:rsidR="00D137C0" w:rsidRPr="0016370D">
        <w:t xml:space="preserve">the National Agency for Legal and Judicial Assistance, </w:t>
      </w:r>
      <w:r w:rsidR="004F516C">
        <w:t xml:space="preserve">through </w:t>
      </w:r>
      <w:r w:rsidR="004F516C" w:rsidRPr="0016370D">
        <w:t>Law No. 2011-42 of 14 December 2011</w:t>
      </w:r>
      <w:r w:rsidR="004F516C">
        <w:t xml:space="preserve">, </w:t>
      </w:r>
      <w:r w:rsidR="00D137C0" w:rsidRPr="0016370D">
        <w:t>to provide legal assistance for</w:t>
      </w:r>
      <w:r w:rsidR="00D137C0">
        <w:t xml:space="preserve"> persons in situations of vulnerability</w:t>
      </w:r>
      <w:r w:rsidR="00A537ED">
        <w:t>, including women in specific cases</w:t>
      </w:r>
      <w:r w:rsidR="00D137C0">
        <w:t>;</w:t>
      </w:r>
      <w:r w:rsidR="007034E5" w:rsidRPr="007034E5">
        <w:t xml:space="preserve"> </w:t>
      </w:r>
      <w:r w:rsidR="007034E5">
        <w:t>and,</w:t>
      </w:r>
    </w:p>
    <w:p w14:paraId="2B8BEF47" w14:textId="4E4410C8" w:rsidR="00FE4A0C" w:rsidRPr="00B13054" w:rsidRDefault="00FE4A0C" w:rsidP="00EC1D30">
      <w:pPr>
        <w:pStyle w:val="SingleTxtG"/>
        <w:ind w:firstLine="567"/>
      </w:pPr>
      <w:r>
        <w:t>(</w:t>
      </w:r>
      <w:r w:rsidR="00F02042">
        <w:t>d</w:t>
      </w:r>
      <w:r>
        <w:t>)</w:t>
      </w:r>
      <w:r>
        <w:tab/>
      </w:r>
      <w:r w:rsidR="00616471">
        <w:t>The a</w:t>
      </w:r>
      <w:r>
        <w:t xml:space="preserve">doption of </w:t>
      </w:r>
      <w:r w:rsidR="00502F91">
        <w:t>a</w:t>
      </w:r>
      <w:r>
        <w:t xml:space="preserve"> National Gender Policy (2008)</w:t>
      </w:r>
      <w:r w:rsidR="00502F91">
        <w:t xml:space="preserve"> and its National Action Plan (2009-2018).</w:t>
      </w:r>
    </w:p>
    <w:p w14:paraId="326740AC" w14:textId="77777777" w:rsidR="00EE6E3F" w:rsidRPr="00344647" w:rsidRDefault="00EE6E3F" w:rsidP="00EE6E3F">
      <w:pPr>
        <w:pStyle w:val="SingleTxtG"/>
      </w:pPr>
      <w:r w:rsidRPr="00344647">
        <w:t>6.</w:t>
      </w:r>
      <w:r w:rsidRPr="00344647">
        <w:tab/>
        <w:t>The Committee welcomes the fact that, in the period since the consideration of the previous report, the State party has ratified or acceded to the following international instruments:</w:t>
      </w:r>
    </w:p>
    <w:p w14:paraId="3E28E412" w14:textId="1B1D189C" w:rsidR="00EE6E3F" w:rsidRDefault="00EE6E3F" w:rsidP="00EE6E3F">
      <w:pPr>
        <w:pStyle w:val="SingleTxtG"/>
      </w:pPr>
      <w:r w:rsidRPr="00344647">
        <w:tab/>
        <w:t>(a)</w:t>
      </w:r>
      <w:r w:rsidRPr="00344647">
        <w:tab/>
      </w:r>
      <w:r w:rsidR="00616471">
        <w:t xml:space="preserve">The </w:t>
      </w:r>
      <w:r w:rsidRPr="00344647">
        <w:t>Convention for the Protection of All Persons from Enforced Disappearance</w:t>
      </w:r>
      <w:r>
        <w:t xml:space="preserve">, </w:t>
      </w:r>
      <w:r w:rsidR="00616471">
        <w:t>in</w:t>
      </w:r>
      <w:r>
        <w:t xml:space="preserve"> 2015;</w:t>
      </w:r>
    </w:p>
    <w:p w14:paraId="41C25B5C" w14:textId="4645E985" w:rsidR="00EE6E3F" w:rsidRDefault="00EE6E3F" w:rsidP="00EE6E3F">
      <w:pPr>
        <w:pStyle w:val="SingleTxtG"/>
        <w:ind w:firstLine="567"/>
      </w:pPr>
      <w:r>
        <w:t>(b)</w:t>
      </w:r>
      <w:r>
        <w:tab/>
      </w:r>
      <w:r w:rsidR="00616471">
        <w:t xml:space="preserve">The </w:t>
      </w:r>
      <w:r w:rsidRPr="00351B5B">
        <w:t xml:space="preserve">Optional Protocol to the International Covenant on Economic, Social and Cultural Rights, </w:t>
      </w:r>
      <w:r w:rsidR="00616471">
        <w:t>in</w:t>
      </w:r>
      <w:r w:rsidRPr="00351B5B">
        <w:t xml:space="preserve"> 2014;</w:t>
      </w:r>
    </w:p>
    <w:p w14:paraId="5837A393" w14:textId="031C6CC9" w:rsidR="00EE6E3F" w:rsidRPr="00344647" w:rsidRDefault="00EE6E3F" w:rsidP="00EE6E3F">
      <w:pPr>
        <w:pStyle w:val="SingleTxtG"/>
        <w:ind w:firstLine="567"/>
      </w:pPr>
      <w:r>
        <w:t>(c)</w:t>
      </w:r>
      <w:r>
        <w:tab/>
      </w:r>
      <w:r w:rsidR="00616471">
        <w:t xml:space="preserve">The </w:t>
      </w:r>
      <w:r>
        <w:t>Optional Protocol t</w:t>
      </w:r>
      <w:r w:rsidRPr="00344647">
        <w:t xml:space="preserve">o the Convention against Torture, </w:t>
      </w:r>
      <w:r w:rsidR="00616471">
        <w:t>in</w:t>
      </w:r>
      <w:r>
        <w:t xml:space="preserve"> </w:t>
      </w:r>
      <w:r w:rsidRPr="00344647">
        <w:t xml:space="preserve">2014; </w:t>
      </w:r>
    </w:p>
    <w:p w14:paraId="698B1F5B" w14:textId="5534B7D4" w:rsidR="00EE6E3F" w:rsidRDefault="00EE6E3F" w:rsidP="00EE6E3F">
      <w:pPr>
        <w:pStyle w:val="SingleTxtG"/>
        <w:ind w:firstLine="567"/>
      </w:pPr>
      <w:r>
        <w:t>(d)</w:t>
      </w:r>
      <w:r>
        <w:tab/>
      </w:r>
      <w:r w:rsidR="00616471">
        <w:t xml:space="preserve">The </w:t>
      </w:r>
      <w:r w:rsidRPr="00351B5B">
        <w:t xml:space="preserve">Convention relating to the Status of Stateless Persons, </w:t>
      </w:r>
      <w:r w:rsidR="00616471">
        <w:t>in</w:t>
      </w:r>
      <w:r w:rsidRPr="00351B5B">
        <w:t xml:space="preserve"> 2014</w:t>
      </w:r>
      <w:r>
        <w:t>;</w:t>
      </w:r>
    </w:p>
    <w:p w14:paraId="193EE7E9" w14:textId="627D234B" w:rsidR="00EE6E3F" w:rsidRDefault="00EE6E3F" w:rsidP="00EE6E3F">
      <w:pPr>
        <w:pStyle w:val="SingleTxtG"/>
        <w:ind w:firstLine="567"/>
      </w:pPr>
      <w:r>
        <w:t>(e</w:t>
      </w:r>
      <w:r w:rsidRPr="00344647">
        <w:t>)</w:t>
      </w:r>
      <w:r w:rsidRPr="00344647">
        <w:tab/>
      </w:r>
      <w:r w:rsidR="00616471">
        <w:t xml:space="preserve">The </w:t>
      </w:r>
      <w:r w:rsidRPr="00351B5B">
        <w:t xml:space="preserve">African Union Convention for the Protection and Assistance of Internally Displaced Persons in Africa (Kampala Convention), </w:t>
      </w:r>
      <w:r w:rsidR="00616471">
        <w:t>in</w:t>
      </w:r>
      <w:r w:rsidRPr="00351B5B">
        <w:t xml:space="preserve"> 2012</w:t>
      </w:r>
      <w:r>
        <w:t>;</w:t>
      </w:r>
    </w:p>
    <w:p w14:paraId="1D53A72B" w14:textId="75BFE7EF" w:rsidR="00EE6E3F" w:rsidRDefault="00EE6E3F" w:rsidP="00EE6E3F">
      <w:pPr>
        <w:pStyle w:val="SingleTxtG"/>
        <w:ind w:firstLine="567"/>
      </w:pPr>
      <w:r>
        <w:t>(f)</w:t>
      </w:r>
      <w:r>
        <w:tab/>
      </w:r>
      <w:r w:rsidR="00616471">
        <w:t xml:space="preserve">The </w:t>
      </w:r>
      <w:r w:rsidRPr="00344647">
        <w:t xml:space="preserve">Optional Protocol to the Convention on the Rights of the Child on the involvement of children in armed conflict, </w:t>
      </w:r>
      <w:r w:rsidR="00616471">
        <w:t>in</w:t>
      </w:r>
      <w:r>
        <w:t xml:space="preserve"> </w:t>
      </w:r>
      <w:r w:rsidRPr="00344647">
        <w:t>2012;</w:t>
      </w:r>
    </w:p>
    <w:p w14:paraId="2D40E813" w14:textId="5E31A70C" w:rsidR="00EE6E3F" w:rsidRDefault="00EE6E3F" w:rsidP="00EE6E3F">
      <w:pPr>
        <w:pStyle w:val="SingleTxtG"/>
      </w:pPr>
      <w:r w:rsidRPr="00344647">
        <w:tab/>
        <w:t>(</w:t>
      </w:r>
      <w:r>
        <w:t>g</w:t>
      </w:r>
      <w:r w:rsidRPr="00344647">
        <w:t>)</w:t>
      </w:r>
      <w:r w:rsidRPr="00344647">
        <w:tab/>
      </w:r>
      <w:r w:rsidR="00616471">
        <w:t xml:space="preserve">The </w:t>
      </w:r>
      <w:r w:rsidRPr="00344647">
        <w:t xml:space="preserve">International Convention on the Protection of the Rights of All Migrant Workers and Members of Their Families, </w:t>
      </w:r>
      <w:r w:rsidR="00616471">
        <w:t>in</w:t>
      </w:r>
      <w:r>
        <w:t xml:space="preserve"> </w:t>
      </w:r>
      <w:r w:rsidRPr="00344647">
        <w:t>2009</w:t>
      </w:r>
      <w:r>
        <w:t>; and,</w:t>
      </w:r>
    </w:p>
    <w:p w14:paraId="2E13F75F" w14:textId="31E24E81" w:rsidR="00EE6E3F" w:rsidRPr="00344647" w:rsidRDefault="00EE6E3F" w:rsidP="00EE6E3F">
      <w:pPr>
        <w:pStyle w:val="SingleTxtG"/>
        <w:ind w:firstLine="567"/>
      </w:pPr>
      <w:r>
        <w:t>(h)</w:t>
      </w:r>
      <w:r>
        <w:tab/>
      </w:r>
      <w:r w:rsidR="00616471">
        <w:t xml:space="preserve">The </w:t>
      </w:r>
      <w:r w:rsidRPr="006959E7">
        <w:t>Convention on the Rights of Persons with Disabilities</w:t>
      </w:r>
      <w:r>
        <w:t xml:space="preserve">, </w:t>
      </w:r>
      <w:r w:rsidR="00616471">
        <w:t>in</w:t>
      </w:r>
      <w:r>
        <w:t xml:space="preserve"> 2008.</w:t>
      </w:r>
    </w:p>
    <w:p w14:paraId="4F05C284" w14:textId="77777777" w:rsidR="00EE6E3F" w:rsidRPr="000A23CC" w:rsidRDefault="00EE6E3F" w:rsidP="00EE6E3F">
      <w:pPr>
        <w:pStyle w:val="H1G"/>
      </w:pPr>
      <w:r w:rsidRPr="005D30A1">
        <w:rPr>
          <w:i/>
        </w:rPr>
        <w:tab/>
      </w:r>
      <w:r w:rsidRPr="000A23CC">
        <w:t>C.</w:t>
      </w:r>
      <w:r w:rsidRPr="000A23CC">
        <w:tab/>
      </w:r>
      <w:r>
        <w:t>National Assembly</w:t>
      </w:r>
    </w:p>
    <w:p w14:paraId="2B0414FA" w14:textId="24F8B0AE" w:rsidR="00EE6E3F" w:rsidRPr="00F02042" w:rsidRDefault="00EE6E3F" w:rsidP="00F02042">
      <w:pPr>
        <w:pStyle w:val="SingleTxtG"/>
        <w:rPr>
          <w:b/>
        </w:rPr>
      </w:pPr>
      <w:r w:rsidRPr="000A23CC">
        <w:t>7.</w:t>
      </w:r>
      <w:r w:rsidRPr="000A23CC">
        <w:tab/>
      </w:r>
      <w:r w:rsidRPr="00F02042">
        <w:rPr>
          <w:b/>
        </w:rPr>
        <w:t>The Committee stresses the crucial role of the legislative power in ensuring the full implementation of the Convention (see the statement by the Committee on its relationship with parliamentarians, adopted at the forty-fifth session, in 2010). It invites the National Assembly, in line with its mandate, to take the necessary steps regarding the implementation of the present concluding observations between now and the next reporting period under the Convention.</w:t>
      </w:r>
    </w:p>
    <w:p w14:paraId="56A5782F" w14:textId="77777777" w:rsidR="00EE6E3F" w:rsidRPr="000A23CC" w:rsidRDefault="00EE6E3F" w:rsidP="00EE6E3F">
      <w:pPr>
        <w:pStyle w:val="H1G"/>
      </w:pPr>
      <w:r w:rsidRPr="000A23CC">
        <w:lastRenderedPageBreak/>
        <w:tab/>
        <w:t>D.</w:t>
      </w:r>
      <w:r w:rsidRPr="000A23CC">
        <w:tab/>
        <w:t>Principal areas of concern and recommendations</w:t>
      </w:r>
    </w:p>
    <w:p w14:paraId="25009A36" w14:textId="77777777" w:rsidR="00EE6E3F" w:rsidRPr="00746B41" w:rsidRDefault="00EE6E3F" w:rsidP="00EE6E3F">
      <w:pPr>
        <w:pStyle w:val="H23G"/>
        <w:rPr>
          <w:lang w:val="en-US"/>
        </w:rPr>
      </w:pPr>
      <w:r w:rsidRPr="005D30A1">
        <w:rPr>
          <w:i/>
          <w:lang w:val="en-US"/>
        </w:rPr>
        <w:tab/>
      </w:r>
      <w:r w:rsidRPr="00746B41">
        <w:rPr>
          <w:lang w:val="en-US"/>
        </w:rPr>
        <w:tab/>
      </w:r>
      <w:r w:rsidR="00D00E69">
        <w:rPr>
          <w:lang w:val="en-US"/>
        </w:rPr>
        <w:t>Withdrawal of r</w:t>
      </w:r>
      <w:r w:rsidRPr="00746B41">
        <w:rPr>
          <w:lang w:val="en-US"/>
        </w:rPr>
        <w:t>eservations</w:t>
      </w:r>
    </w:p>
    <w:p w14:paraId="2328DC1E" w14:textId="5847C880" w:rsidR="00EE6E3F" w:rsidRPr="00746B41" w:rsidRDefault="00EE6E3F" w:rsidP="00F02042">
      <w:pPr>
        <w:pStyle w:val="SingleTxtG"/>
        <w:rPr>
          <w:b/>
          <w:lang w:val="en-US"/>
        </w:rPr>
      </w:pPr>
      <w:r>
        <w:rPr>
          <w:lang w:val="en-US"/>
        </w:rPr>
        <w:t>8</w:t>
      </w:r>
      <w:r w:rsidRPr="00746B41">
        <w:rPr>
          <w:lang w:val="en-US"/>
        </w:rPr>
        <w:t>.</w:t>
      </w:r>
      <w:r w:rsidRPr="00746B41">
        <w:rPr>
          <w:lang w:val="en-US"/>
        </w:rPr>
        <w:tab/>
        <w:t xml:space="preserve">The Committee </w:t>
      </w:r>
      <w:r w:rsidR="00D00E69">
        <w:rPr>
          <w:lang w:val="en-US"/>
        </w:rPr>
        <w:t xml:space="preserve">takes note of the State party’s </w:t>
      </w:r>
      <w:r w:rsidR="00616471">
        <w:rPr>
          <w:lang w:val="en-US"/>
        </w:rPr>
        <w:t>acceptance during its 2014 Universal Periodic Review (</w:t>
      </w:r>
      <w:r w:rsidR="00616471" w:rsidRPr="00FA3B85">
        <w:rPr>
          <w:lang w:val="en-US"/>
        </w:rPr>
        <w:t>A/HRC/32/5</w:t>
      </w:r>
      <w:r w:rsidR="00616471">
        <w:rPr>
          <w:lang w:val="en-US"/>
        </w:rPr>
        <w:t>) of the recommendations</w:t>
      </w:r>
      <w:r w:rsidR="00D00E69">
        <w:rPr>
          <w:lang w:val="en-US"/>
        </w:rPr>
        <w:t xml:space="preserve"> to review its reservations to </w:t>
      </w:r>
      <w:r w:rsidR="00A37204">
        <w:rPr>
          <w:lang w:val="en-US"/>
        </w:rPr>
        <w:t>article 2 (d) and (f), article 5</w:t>
      </w:r>
      <w:r w:rsidR="00A37204" w:rsidRPr="00A37204">
        <w:rPr>
          <w:lang w:val="en-US"/>
        </w:rPr>
        <w:t xml:space="preserve"> (a), article 15</w:t>
      </w:r>
      <w:r w:rsidR="00A37204">
        <w:rPr>
          <w:lang w:val="en-US"/>
        </w:rPr>
        <w:t xml:space="preserve"> (</w:t>
      </w:r>
      <w:r w:rsidR="00A37204" w:rsidRPr="00A37204">
        <w:rPr>
          <w:lang w:val="en-US"/>
        </w:rPr>
        <w:t>4</w:t>
      </w:r>
      <w:r w:rsidR="00A37204">
        <w:rPr>
          <w:lang w:val="en-US"/>
        </w:rPr>
        <w:t>)</w:t>
      </w:r>
      <w:r w:rsidR="00A37204" w:rsidRPr="00A37204">
        <w:rPr>
          <w:lang w:val="en-US"/>
        </w:rPr>
        <w:t xml:space="preserve"> and article 16</w:t>
      </w:r>
      <w:r w:rsidR="00A37204">
        <w:rPr>
          <w:lang w:val="en-US"/>
        </w:rPr>
        <w:t xml:space="preserve"> </w:t>
      </w:r>
      <w:r w:rsidR="00A37204" w:rsidRPr="00A37204">
        <w:rPr>
          <w:lang w:val="en-US"/>
        </w:rPr>
        <w:t>(c), (e) and (g)</w:t>
      </w:r>
      <w:r w:rsidR="00A37204">
        <w:rPr>
          <w:lang w:val="en-US"/>
        </w:rPr>
        <w:t xml:space="preserve"> of</w:t>
      </w:r>
      <w:r w:rsidR="00A37204" w:rsidRPr="00A37204">
        <w:rPr>
          <w:lang w:val="en-US"/>
        </w:rPr>
        <w:t xml:space="preserve"> </w:t>
      </w:r>
      <w:r w:rsidR="00D00E69">
        <w:rPr>
          <w:lang w:val="en-US"/>
        </w:rPr>
        <w:t>the Convention</w:t>
      </w:r>
      <w:r w:rsidR="001869D8">
        <w:rPr>
          <w:lang w:val="en-US"/>
        </w:rPr>
        <w:t xml:space="preserve"> and </w:t>
      </w:r>
      <w:r w:rsidR="00D00E69">
        <w:rPr>
          <w:lang w:val="en-US"/>
        </w:rPr>
        <w:t xml:space="preserve">the establishment of a national committee to consider their withdrawal. The Committee is concerned </w:t>
      </w:r>
      <w:r w:rsidRPr="00746B41">
        <w:rPr>
          <w:lang w:val="en-US"/>
        </w:rPr>
        <w:t xml:space="preserve">that </w:t>
      </w:r>
      <w:r w:rsidR="00D00E69">
        <w:rPr>
          <w:lang w:val="en-US"/>
        </w:rPr>
        <w:t>no</w:t>
      </w:r>
      <w:r w:rsidRPr="00746B41">
        <w:rPr>
          <w:lang w:val="en-US"/>
        </w:rPr>
        <w:t xml:space="preserve"> timeframe</w:t>
      </w:r>
      <w:r w:rsidR="00D00E69">
        <w:rPr>
          <w:lang w:val="en-US"/>
        </w:rPr>
        <w:t xml:space="preserve"> has been set for the completion of this review</w:t>
      </w:r>
      <w:r w:rsidRPr="00746B41">
        <w:rPr>
          <w:lang w:val="en-US"/>
        </w:rPr>
        <w:t>.</w:t>
      </w:r>
      <w:r w:rsidR="00D00E69">
        <w:rPr>
          <w:lang w:val="en-US"/>
        </w:rPr>
        <w:t xml:space="preserve"> </w:t>
      </w:r>
    </w:p>
    <w:p w14:paraId="71911DD9" w14:textId="2F3A1CEA" w:rsidR="001869D8" w:rsidRPr="00F02042" w:rsidRDefault="00EE6E3F" w:rsidP="00F02042">
      <w:pPr>
        <w:pStyle w:val="SingleTxtG"/>
        <w:rPr>
          <w:b/>
          <w:lang w:val="en-US"/>
        </w:rPr>
      </w:pPr>
      <w:r w:rsidRPr="00F02042">
        <w:rPr>
          <w:lang w:val="en-US"/>
        </w:rPr>
        <w:t>9.</w:t>
      </w:r>
      <w:r w:rsidRPr="00F02042">
        <w:rPr>
          <w:lang w:val="en-US"/>
        </w:rPr>
        <w:tab/>
      </w:r>
      <w:r w:rsidR="00D00E69" w:rsidRPr="00F02042">
        <w:rPr>
          <w:b/>
          <w:lang w:val="en-US"/>
        </w:rPr>
        <w:t xml:space="preserve">Recalling its statement on reservations, adopted at its nineteenth session, in 1998, the Committee considers that the reservations to articles </w:t>
      </w:r>
      <w:r w:rsidR="00A37204" w:rsidRPr="00F02042">
        <w:rPr>
          <w:b/>
          <w:lang w:val="en-US"/>
        </w:rPr>
        <w:t xml:space="preserve">2 and </w:t>
      </w:r>
      <w:r w:rsidR="001869D8" w:rsidRPr="00F02042">
        <w:rPr>
          <w:b/>
          <w:lang w:val="en-US"/>
        </w:rPr>
        <w:t xml:space="preserve">16 are incompatible with the object and purpose of the Convention and that they are therefore impermissible and should be withdrawn. </w:t>
      </w:r>
      <w:r w:rsidR="00A537ED" w:rsidRPr="00F02042">
        <w:rPr>
          <w:b/>
          <w:lang w:val="en-US"/>
        </w:rPr>
        <w:t xml:space="preserve">It reiterates that the withdrawal of the reservations, or the narrowing of their scope, is essential for the full implementation of the Convention in the State party and that neither traditional, religious or cultural practices nor incompatible national laws and policies can be invoked to justify reservations to the Convention. </w:t>
      </w:r>
      <w:r w:rsidR="001869D8" w:rsidRPr="00F02042">
        <w:rPr>
          <w:b/>
          <w:lang w:val="en-US"/>
        </w:rPr>
        <w:t xml:space="preserve">The </w:t>
      </w:r>
      <w:r w:rsidRPr="00F02042">
        <w:rPr>
          <w:b/>
          <w:lang w:val="en-US"/>
        </w:rPr>
        <w:t xml:space="preserve">Committee </w:t>
      </w:r>
      <w:r w:rsidR="001869D8" w:rsidRPr="00F02042">
        <w:rPr>
          <w:b/>
          <w:lang w:val="en-US"/>
        </w:rPr>
        <w:t xml:space="preserve">recommends that the State party: </w:t>
      </w:r>
    </w:p>
    <w:p w14:paraId="6732FB73" w14:textId="632C014A" w:rsidR="00D812EE" w:rsidRPr="00F02042" w:rsidRDefault="001869D8" w:rsidP="00F02042">
      <w:pPr>
        <w:pStyle w:val="SingleTxtG"/>
        <w:rPr>
          <w:b/>
          <w:lang w:val="en-US"/>
        </w:rPr>
      </w:pPr>
      <w:r w:rsidRPr="00F02042">
        <w:rPr>
          <w:b/>
          <w:lang w:val="en-US"/>
        </w:rPr>
        <w:tab/>
        <w:t>(a)</w:t>
      </w:r>
      <w:r w:rsidRPr="00F02042">
        <w:rPr>
          <w:b/>
          <w:lang w:val="en-US"/>
        </w:rPr>
        <w:tab/>
        <w:t>Expedite the review of all its reservations to the Convention, with a view to withdrawing them or narrowing their s</w:t>
      </w:r>
      <w:r w:rsidR="005E3DF3" w:rsidRPr="00F02042">
        <w:rPr>
          <w:b/>
          <w:lang w:val="en-US"/>
        </w:rPr>
        <w:t>cope within an established time</w:t>
      </w:r>
      <w:r w:rsidRPr="00F02042">
        <w:rPr>
          <w:b/>
          <w:lang w:val="en-US"/>
        </w:rPr>
        <w:t xml:space="preserve">frame, in consultation with traditional leaders and women’s civil society groups. In this context, it recommends that the State party take into consideration the experiences of other </w:t>
      </w:r>
      <w:r w:rsidR="00580800">
        <w:rPr>
          <w:b/>
          <w:lang w:val="en-US"/>
        </w:rPr>
        <w:t>Muslim countries</w:t>
      </w:r>
      <w:r w:rsidRPr="00F02042">
        <w:rPr>
          <w:b/>
          <w:lang w:val="en-US"/>
        </w:rPr>
        <w:t xml:space="preserve"> that have withdrawn reservations to the Convention</w:t>
      </w:r>
      <w:r w:rsidR="00D812EE" w:rsidRPr="00F02042">
        <w:rPr>
          <w:b/>
          <w:lang w:val="en-US"/>
        </w:rPr>
        <w:t>;</w:t>
      </w:r>
      <w:r w:rsidR="00DF301E" w:rsidRPr="00F02042">
        <w:rPr>
          <w:b/>
          <w:lang w:val="en-US"/>
        </w:rPr>
        <w:t xml:space="preserve"> and,</w:t>
      </w:r>
    </w:p>
    <w:p w14:paraId="29E56117" w14:textId="344369C0" w:rsidR="001869D8" w:rsidRPr="00F02042" w:rsidRDefault="00D812EE" w:rsidP="00F02042">
      <w:pPr>
        <w:pStyle w:val="SingleTxtG"/>
        <w:rPr>
          <w:b/>
          <w:lang w:val="en-US"/>
        </w:rPr>
      </w:pPr>
      <w:r w:rsidRPr="00F02042">
        <w:rPr>
          <w:b/>
          <w:lang w:val="en-US"/>
        </w:rPr>
        <w:tab/>
        <w:t>(b)</w:t>
      </w:r>
      <w:r w:rsidRPr="00F02042">
        <w:rPr>
          <w:b/>
          <w:lang w:val="en-US"/>
        </w:rPr>
        <w:tab/>
        <w:t>Seek and utilize technical support from development partners, as appropriate, in addressing national constraints to the full adoption and implementation of the Convention without reservations.</w:t>
      </w:r>
      <w:r w:rsidR="001869D8" w:rsidRPr="00F02042">
        <w:rPr>
          <w:b/>
          <w:lang w:val="en-US"/>
        </w:rPr>
        <w:t xml:space="preserve"> </w:t>
      </w:r>
    </w:p>
    <w:p w14:paraId="5FCA81ED" w14:textId="1C42A72C" w:rsidR="00483556" w:rsidRPr="006A79F4" w:rsidRDefault="00F02042" w:rsidP="00F02042">
      <w:pPr>
        <w:pStyle w:val="H23G"/>
      </w:pPr>
      <w:r>
        <w:tab/>
      </w:r>
      <w:r>
        <w:tab/>
      </w:r>
      <w:r w:rsidR="00483556" w:rsidRPr="00F02042">
        <w:t>Women</w:t>
      </w:r>
      <w:r w:rsidR="00973834">
        <w:rPr>
          <w:lang w:val="en-US"/>
        </w:rPr>
        <w:t xml:space="preserve"> </w:t>
      </w:r>
      <w:r w:rsidR="00483556">
        <w:rPr>
          <w:lang w:val="en-US"/>
        </w:rPr>
        <w:t>peace and security</w:t>
      </w:r>
    </w:p>
    <w:p w14:paraId="76E74161" w14:textId="18436E71" w:rsidR="002A35EC" w:rsidRPr="005A051D" w:rsidRDefault="00483556" w:rsidP="00F02042">
      <w:pPr>
        <w:pStyle w:val="SingleTxtG"/>
        <w:rPr>
          <w:i/>
          <w:lang w:val="en-US"/>
        </w:rPr>
      </w:pPr>
      <w:r>
        <w:rPr>
          <w:lang w:val="en-US"/>
        </w:rPr>
        <w:t>10</w:t>
      </w:r>
      <w:r w:rsidRPr="00C92A36">
        <w:rPr>
          <w:lang w:val="en-US"/>
        </w:rPr>
        <w:t>.</w:t>
      </w:r>
      <w:r w:rsidRPr="00C92A36">
        <w:rPr>
          <w:lang w:val="en-US"/>
        </w:rPr>
        <w:tab/>
        <w:t xml:space="preserve">The Committee </w:t>
      </w:r>
      <w:r w:rsidR="00DF301E">
        <w:rPr>
          <w:lang w:val="en-US"/>
        </w:rPr>
        <w:t xml:space="preserve">notes that recent </w:t>
      </w:r>
      <w:r w:rsidR="002A35EC">
        <w:rPr>
          <w:lang w:val="en-US"/>
        </w:rPr>
        <w:t>terrorist attacks</w:t>
      </w:r>
      <w:r w:rsidR="005A051D">
        <w:rPr>
          <w:lang w:val="en-US"/>
        </w:rPr>
        <w:t xml:space="preserve"> </w:t>
      </w:r>
      <w:r w:rsidR="00DF301E">
        <w:rPr>
          <w:lang w:val="en-US"/>
        </w:rPr>
        <w:t>have</w:t>
      </w:r>
      <w:r w:rsidR="002A35EC">
        <w:rPr>
          <w:lang w:val="en-US"/>
        </w:rPr>
        <w:t xml:space="preserve"> result</w:t>
      </w:r>
      <w:r w:rsidR="00DF301E">
        <w:rPr>
          <w:lang w:val="en-US"/>
        </w:rPr>
        <w:t>ed in</w:t>
      </w:r>
      <w:r w:rsidR="002A35EC">
        <w:rPr>
          <w:lang w:val="en-US"/>
        </w:rPr>
        <w:t xml:space="preserve"> </w:t>
      </w:r>
      <w:r w:rsidR="00DF301E">
        <w:rPr>
          <w:lang w:val="en-US"/>
        </w:rPr>
        <w:t xml:space="preserve">major </w:t>
      </w:r>
      <w:r w:rsidR="00806A01">
        <w:rPr>
          <w:lang w:val="en-US"/>
        </w:rPr>
        <w:t xml:space="preserve">population </w:t>
      </w:r>
      <w:r w:rsidR="002A35EC" w:rsidRPr="002A35EC">
        <w:rPr>
          <w:lang w:val="en-US"/>
        </w:rPr>
        <w:t xml:space="preserve">displacement with an estimated 242,000 persons </w:t>
      </w:r>
      <w:r w:rsidR="00DF301E">
        <w:rPr>
          <w:lang w:val="en-US"/>
        </w:rPr>
        <w:t>comprising</w:t>
      </w:r>
      <w:r w:rsidR="00DF301E" w:rsidRPr="002A35EC">
        <w:rPr>
          <w:lang w:val="en-US"/>
        </w:rPr>
        <w:t xml:space="preserve"> </w:t>
      </w:r>
      <w:r w:rsidR="00DF301E">
        <w:rPr>
          <w:lang w:val="en-US"/>
        </w:rPr>
        <w:t xml:space="preserve">asylum seekers, </w:t>
      </w:r>
      <w:r w:rsidR="00DF301E" w:rsidRPr="002A35EC">
        <w:rPr>
          <w:lang w:val="en-US"/>
        </w:rPr>
        <w:t xml:space="preserve">refugees, </w:t>
      </w:r>
      <w:r w:rsidR="00DF301E">
        <w:rPr>
          <w:lang w:val="en-US"/>
        </w:rPr>
        <w:t xml:space="preserve">returnees </w:t>
      </w:r>
      <w:r w:rsidR="00DF301E" w:rsidRPr="002A35EC">
        <w:rPr>
          <w:lang w:val="en-US"/>
        </w:rPr>
        <w:t>and internal</w:t>
      </w:r>
      <w:r w:rsidR="00DF301E">
        <w:rPr>
          <w:lang w:val="en-US"/>
        </w:rPr>
        <w:t>ly displaced person</w:t>
      </w:r>
      <w:r w:rsidR="00DF301E" w:rsidRPr="002A35EC">
        <w:rPr>
          <w:lang w:val="en-US"/>
        </w:rPr>
        <w:t xml:space="preserve"> </w:t>
      </w:r>
      <w:r w:rsidR="002A35EC" w:rsidRPr="002A35EC">
        <w:rPr>
          <w:lang w:val="en-US"/>
        </w:rPr>
        <w:t xml:space="preserve">in the Diffa region alone. The Committee commends the State party for </w:t>
      </w:r>
      <w:r w:rsidR="00A254E8">
        <w:rPr>
          <w:lang w:val="en-US"/>
        </w:rPr>
        <w:t xml:space="preserve">the </w:t>
      </w:r>
      <w:r w:rsidR="00A254E8">
        <w:t xml:space="preserve">adoption of </w:t>
      </w:r>
      <w:r w:rsidR="00A254E8" w:rsidRPr="009E615E">
        <w:t>Act No. 2015-36 of 26 May 2015 on prohibiting migrant trafficking</w:t>
      </w:r>
      <w:r w:rsidR="00A254E8">
        <w:t xml:space="preserve">, and </w:t>
      </w:r>
      <w:r w:rsidR="002A35EC" w:rsidRPr="002A35EC">
        <w:rPr>
          <w:lang w:val="en-US"/>
        </w:rPr>
        <w:t>its open border and reception policy for refugees.</w:t>
      </w:r>
      <w:r w:rsidR="001218A6">
        <w:rPr>
          <w:lang w:val="en-US"/>
        </w:rPr>
        <w:t xml:space="preserve"> It is however concerned that: </w:t>
      </w:r>
    </w:p>
    <w:p w14:paraId="20C40FBD" w14:textId="27EA6B83" w:rsidR="00DF33CE" w:rsidRDefault="002A35EC" w:rsidP="00F02042">
      <w:pPr>
        <w:pStyle w:val="SingleTxtG"/>
        <w:ind w:firstLine="567"/>
        <w:rPr>
          <w:lang w:val="en-US"/>
        </w:rPr>
      </w:pPr>
      <w:r>
        <w:rPr>
          <w:lang w:val="en-US"/>
        </w:rPr>
        <w:t>(</w:t>
      </w:r>
      <w:r w:rsidR="005A051D">
        <w:rPr>
          <w:lang w:val="en-US"/>
        </w:rPr>
        <w:t>a</w:t>
      </w:r>
      <w:r>
        <w:rPr>
          <w:lang w:val="en-US"/>
        </w:rPr>
        <w:t>)</w:t>
      </w:r>
      <w:r>
        <w:rPr>
          <w:lang w:val="en-US"/>
        </w:rPr>
        <w:tab/>
      </w:r>
      <w:r w:rsidR="005A051D">
        <w:rPr>
          <w:lang w:val="en-US"/>
        </w:rPr>
        <w:t>No strategic policy or legislative response exists to address</w:t>
      </w:r>
      <w:r w:rsidRPr="00D62C4F">
        <w:rPr>
          <w:lang w:val="en-US"/>
        </w:rPr>
        <w:t xml:space="preserve"> </w:t>
      </w:r>
      <w:r w:rsidR="005A051D">
        <w:rPr>
          <w:lang w:val="en-US"/>
        </w:rPr>
        <w:t>the extremely precarious conditions</w:t>
      </w:r>
      <w:r w:rsidR="00806A01">
        <w:rPr>
          <w:lang w:val="en-US"/>
        </w:rPr>
        <w:t xml:space="preserve"> of displaced women and girls in the State party</w:t>
      </w:r>
      <w:r w:rsidR="00CD75E9">
        <w:rPr>
          <w:lang w:val="en-US"/>
        </w:rPr>
        <w:t>, as particularly aggravated in the Lake Chad region</w:t>
      </w:r>
      <w:r w:rsidR="00DF33CE">
        <w:rPr>
          <w:lang w:val="en-US"/>
        </w:rPr>
        <w:t>;</w:t>
      </w:r>
    </w:p>
    <w:p w14:paraId="1C9C95E9" w14:textId="44DD62E1" w:rsidR="005A051D" w:rsidRDefault="00DF33CE" w:rsidP="00F02042">
      <w:pPr>
        <w:pStyle w:val="SingleTxtG"/>
        <w:ind w:firstLine="567"/>
        <w:rPr>
          <w:lang w:val="en-US"/>
        </w:rPr>
      </w:pPr>
      <w:r>
        <w:rPr>
          <w:lang w:val="en-US"/>
        </w:rPr>
        <w:t>(b</w:t>
      </w:r>
      <w:r w:rsidR="002A35EC" w:rsidRPr="00D62C4F">
        <w:rPr>
          <w:lang w:val="en-US"/>
        </w:rPr>
        <w:t>)</w:t>
      </w:r>
      <w:r w:rsidR="002A35EC" w:rsidRPr="00D62C4F">
        <w:rPr>
          <w:lang w:val="en-US"/>
        </w:rPr>
        <w:tab/>
        <w:t xml:space="preserve">Displaced women </w:t>
      </w:r>
      <w:r w:rsidR="00806A01">
        <w:rPr>
          <w:lang w:val="en-US"/>
        </w:rPr>
        <w:t xml:space="preserve">and girls </w:t>
      </w:r>
      <w:r w:rsidR="002A35EC" w:rsidRPr="00D62C4F">
        <w:rPr>
          <w:lang w:val="en-US"/>
        </w:rPr>
        <w:t>are at risk of sexual and gender</w:t>
      </w:r>
      <w:r w:rsidR="002A35EC">
        <w:rPr>
          <w:lang w:val="en-US"/>
        </w:rPr>
        <w:t>-based violence</w:t>
      </w:r>
      <w:r w:rsidR="005A051D">
        <w:rPr>
          <w:lang w:val="en-US"/>
        </w:rPr>
        <w:t xml:space="preserve">, </w:t>
      </w:r>
      <w:r w:rsidR="00806A01">
        <w:rPr>
          <w:lang w:val="en-US"/>
        </w:rPr>
        <w:t>as well as</w:t>
      </w:r>
      <w:r w:rsidR="00F70234">
        <w:rPr>
          <w:lang w:val="en-US"/>
        </w:rPr>
        <w:t xml:space="preserve"> early and forced marriage, </w:t>
      </w:r>
      <w:r w:rsidR="005A051D">
        <w:rPr>
          <w:lang w:val="en-US"/>
        </w:rPr>
        <w:t>human trafficking</w:t>
      </w:r>
      <w:r w:rsidR="00F70234">
        <w:rPr>
          <w:lang w:val="en-US"/>
        </w:rPr>
        <w:t>, forced prostitution</w:t>
      </w:r>
      <w:r w:rsidR="005A051D">
        <w:rPr>
          <w:lang w:val="en-US"/>
        </w:rPr>
        <w:t xml:space="preserve"> and abduction by terrorist groups for</w:t>
      </w:r>
      <w:r w:rsidR="002A35EC">
        <w:rPr>
          <w:lang w:val="en-US"/>
        </w:rPr>
        <w:t xml:space="preserve"> use in suicide bombings and sexual slavery</w:t>
      </w:r>
      <w:r w:rsidR="005A051D">
        <w:rPr>
          <w:lang w:val="en-US"/>
        </w:rPr>
        <w:t>; and,</w:t>
      </w:r>
    </w:p>
    <w:p w14:paraId="3E2FD3BA" w14:textId="7C272EDF" w:rsidR="002A35EC" w:rsidRDefault="002A35EC" w:rsidP="00F02042">
      <w:pPr>
        <w:pStyle w:val="SingleTxtG"/>
        <w:ind w:firstLine="567"/>
        <w:rPr>
          <w:lang w:val="en-US"/>
        </w:rPr>
      </w:pPr>
      <w:r w:rsidRPr="00D62C4F">
        <w:rPr>
          <w:lang w:val="en-US"/>
        </w:rPr>
        <w:t>(c)</w:t>
      </w:r>
      <w:r w:rsidRPr="00D62C4F">
        <w:rPr>
          <w:lang w:val="en-US"/>
        </w:rPr>
        <w:tab/>
        <w:t xml:space="preserve">No independent mechanism </w:t>
      </w:r>
      <w:r w:rsidR="009B3BCA">
        <w:rPr>
          <w:lang w:val="en-US"/>
        </w:rPr>
        <w:t>exists</w:t>
      </w:r>
      <w:r w:rsidRPr="00D62C4F">
        <w:rPr>
          <w:lang w:val="en-US"/>
        </w:rPr>
        <w:t xml:space="preserve"> with a mandate to investigate all allegations of </w:t>
      </w:r>
      <w:r w:rsidR="00806A01">
        <w:rPr>
          <w:lang w:val="en-US"/>
        </w:rPr>
        <w:t>gender-based</w:t>
      </w:r>
      <w:r w:rsidRPr="00D62C4F">
        <w:rPr>
          <w:lang w:val="en-US"/>
        </w:rPr>
        <w:t xml:space="preserve"> violence </w:t>
      </w:r>
      <w:r w:rsidR="00806A01">
        <w:rPr>
          <w:lang w:val="en-US"/>
        </w:rPr>
        <w:t xml:space="preserve">and other rights violations against women and girls </w:t>
      </w:r>
      <w:r w:rsidRPr="00D62C4F">
        <w:rPr>
          <w:lang w:val="en-US"/>
        </w:rPr>
        <w:t xml:space="preserve">by security forces and </w:t>
      </w:r>
      <w:r w:rsidR="00AB298B">
        <w:rPr>
          <w:lang w:val="en-US"/>
        </w:rPr>
        <w:t>terrorist</w:t>
      </w:r>
      <w:r w:rsidRPr="00D62C4F">
        <w:rPr>
          <w:lang w:val="en-US"/>
        </w:rPr>
        <w:t xml:space="preserve"> groups</w:t>
      </w:r>
      <w:r w:rsidR="005A051D">
        <w:rPr>
          <w:lang w:val="en-US"/>
        </w:rPr>
        <w:t>.</w:t>
      </w:r>
    </w:p>
    <w:p w14:paraId="4BDA565E" w14:textId="77777777" w:rsidR="00DF33CE" w:rsidRPr="00F02042" w:rsidRDefault="00760C0F" w:rsidP="00F02042">
      <w:pPr>
        <w:pStyle w:val="SingleTxtG"/>
        <w:rPr>
          <w:b/>
          <w:lang w:val="en-US"/>
        </w:rPr>
      </w:pPr>
      <w:r w:rsidRPr="00F02042">
        <w:rPr>
          <w:lang w:val="en-US"/>
        </w:rPr>
        <w:t>11</w:t>
      </w:r>
      <w:r w:rsidR="002A35EC" w:rsidRPr="00F02042">
        <w:rPr>
          <w:lang w:val="en-US"/>
        </w:rPr>
        <w:t>.</w:t>
      </w:r>
      <w:r w:rsidR="002A35EC" w:rsidRPr="00F02042">
        <w:rPr>
          <w:lang w:val="en-US"/>
        </w:rPr>
        <w:tab/>
      </w:r>
      <w:r w:rsidR="002A35EC" w:rsidRPr="00F02042">
        <w:rPr>
          <w:b/>
          <w:lang w:val="en-US"/>
        </w:rPr>
        <w:t>The Committee recommends</w:t>
      </w:r>
      <w:r w:rsidR="00AB298B" w:rsidRPr="00F02042">
        <w:rPr>
          <w:b/>
          <w:lang w:val="en-US"/>
        </w:rPr>
        <w:t>, in line with its general recommendations No. 30 (2013) on women in conflict prevention, conflict and post-conflict situations, and No. 32 (2014) on the gender-related dimensions of refugee status, asylum, nationality and statelessness, that the State party</w:t>
      </w:r>
      <w:r w:rsidR="00DF33CE" w:rsidRPr="00F02042">
        <w:rPr>
          <w:b/>
          <w:lang w:val="en-US"/>
        </w:rPr>
        <w:t>:</w:t>
      </w:r>
    </w:p>
    <w:p w14:paraId="12303F26" w14:textId="1ED1CDAA" w:rsidR="00F70234" w:rsidRPr="00F02042" w:rsidRDefault="00DF33CE" w:rsidP="00F02042">
      <w:pPr>
        <w:pStyle w:val="SingleTxtG"/>
        <w:rPr>
          <w:b/>
          <w:lang w:val="en-US"/>
        </w:rPr>
      </w:pPr>
      <w:r w:rsidRPr="00F02042">
        <w:rPr>
          <w:b/>
          <w:lang w:val="en-US"/>
        </w:rPr>
        <w:tab/>
      </w:r>
      <w:r w:rsidR="00F70234" w:rsidRPr="00F02042">
        <w:rPr>
          <w:b/>
          <w:lang w:val="en-US"/>
        </w:rPr>
        <w:t>(a)</w:t>
      </w:r>
      <w:r w:rsidR="00F70234" w:rsidRPr="00F02042">
        <w:rPr>
          <w:b/>
          <w:lang w:val="en-US"/>
        </w:rPr>
        <w:tab/>
      </w:r>
      <w:r w:rsidR="00CC507E" w:rsidRPr="00F02042">
        <w:rPr>
          <w:b/>
          <w:lang w:val="en-US"/>
        </w:rPr>
        <w:t xml:space="preserve">Expedite the adoption of </w:t>
      </w:r>
      <w:r w:rsidR="001D67E7" w:rsidRPr="00F02042">
        <w:rPr>
          <w:b/>
          <w:lang w:val="en-US"/>
        </w:rPr>
        <w:t>a policy and legislative framework to guarantee</w:t>
      </w:r>
      <w:r w:rsidR="00AB298B" w:rsidRPr="00F02042">
        <w:rPr>
          <w:b/>
          <w:lang w:val="en-US"/>
        </w:rPr>
        <w:t xml:space="preserve"> the security of asylum seeker, refugee, returnee and displaced women and girls</w:t>
      </w:r>
      <w:r w:rsidRPr="00F02042">
        <w:rPr>
          <w:b/>
          <w:lang w:val="en-US"/>
        </w:rPr>
        <w:t xml:space="preserve"> and </w:t>
      </w:r>
      <w:r w:rsidR="001D67E7" w:rsidRPr="00F02042">
        <w:rPr>
          <w:b/>
          <w:lang w:val="en-US"/>
        </w:rPr>
        <w:t>ensure</w:t>
      </w:r>
      <w:r w:rsidRPr="00F02042">
        <w:rPr>
          <w:b/>
          <w:lang w:val="en-US"/>
        </w:rPr>
        <w:t xml:space="preserve"> their access to food supplies, clean water and sanitation, shelter, health care, </w:t>
      </w:r>
      <w:r w:rsidR="009F14A0" w:rsidRPr="00F02042">
        <w:rPr>
          <w:b/>
          <w:lang w:val="en-US"/>
        </w:rPr>
        <w:t xml:space="preserve">and </w:t>
      </w:r>
      <w:r w:rsidRPr="00F02042">
        <w:rPr>
          <w:b/>
          <w:lang w:val="en-US"/>
        </w:rPr>
        <w:t xml:space="preserve">education, </w:t>
      </w:r>
      <w:r w:rsidR="009F14A0" w:rsidRPr="00F02042">
        <w:rPr>
          <w:b/>
          <w:lang w:val="en-US"/>
        </w:rPr>
        <w:t>and</w:t>
      </w:r>
      <w:r w:rsidRPr="00F02042">
        <w:rPr>
          <w:b/>
          <w:lang w:val="en-US"/>
        </w:rPr>
        <w:t xml:space="preserve"> facilitat</w:t>
      </w:r>
      <w:r w:rsidR="009F14A0" w:rsidRPr="00F02042">
        <w:rPr>
          <w:b/>
          <w:lang w:val="en-US"/>
        </w:rPr>
        <w:t>ed</w:t>
      </w:r>
      <w:r w:rsidRPr="00F02042">
        <w:rPr>
          <w:b/>
          <w:lang w:val="en-US"/>
        </w:rPr>
        <w:t xml:space="preserve"> acquisition of identity documentation;</w:t>
      </w:r>
    </w:p>
    <w:p w14:paraId="5FF356F7" w14:textId="4C4EF1EE" w:rsidR="0081722E" w:rsidRPr="00F02042" w:rsidRDefault="00F70234" w:rsidP="00F02042">
      <w:pPr>
        <w:pStyle w:val="SingleTxtG"/>
        <w:rPr>
          <w:b/>
          <w:lang w:val="en-US"/>
        </w:rPr>
      </w:pPr>
      <w:r w:rsidRPr="00F02042">
        <w:rPr>
          <w:b/>
          <w:lang w:val="en-US"/>
        </w:rPr>
        <w:tab/>
      </w:r>
      <w:r w:rsidR="009820DA" w:rsidRPr="00F02042">
        <w:rPr>
          <w:b/>
          <w:lang w:val="en-US"/>
        </w:rPr>
        <w:t>(</w:t>
      </w:r>
      <w:r w:rsidR="001D67E7" w:rsidRPr="00F02042">
        <w:rPr>
          <w:b/>
          <w:lang w:val="en-US"/>
        </w:rPr>
        <w:t>b</w:t>
      </w:r>
      <w:r w:rsidRPr="00F02042">
        <w:rPr>
          <w:b/>
          <w:lang w:val="en-US"/>
        </w:rPr>
        <w:t>)</w:t>
      </w:r>
      <w:r w:rsidRPr="00F02042">
        <w:rPr>
          <w:b/>
          <w:lang w:val="en-US"/>
        </w:rPr>
        <w:tab/>
      </w:r>
      <w:r w:rsidR="003106D0" w:rsidRPr="00F02042">
        <w:rPr>
          <w:b/>
          <w:lang w:val="en-US"/>
        </w:rPr>
        <w:t>C</w:t>
      </w:r>
      <w:r w:rsidR="00A91C1C" w:rsidRPr="00F02042">
        <w:rPr>
          <w:b/>
          <w:lang w:val="en-US"/>
        </w:rPr>
        <w:t>ollect data on</w:t>
      </w:r>
      <w:r w:rsidR="009820DA" w:rsidRPr="00F02042">
        <w:rPr>
          <w:b/>
          <w:lang w:val="en-US"/>
        </w:rPr>
        <w:t xml:space="preserve"> </w:t>
      </w:r>
      <w:r w:rsidRPr="00F02042">
        <w:rPr>
          <w:b/>
          <w:lang w:val="en-US"/>
        </w:rPr>
        <w:t>incidents of gender-based violence against women and girls, in particular sexual violence, and incidents of early and forced marriage, human trafficking, forced prostitution and abduction by terrorist groups</w:t>
      </w:r>
      <w:r w:rsidR="00806A01" w:rsidRPr="00F02042">
        <w:rPr>
          <w:b/>
          <w:lang w:val="en-US"/>
        </w:rPr>
        <w:t xml:space="preserve"> in the State party</w:t>
      </w:r>
      <w:r w:rsidR="0081722E" w:rsidRPr="00F02042">
        <w:rPr>
          <w:b/>
          <w:lang w:val="en-US"/>
        </w:rPr>
        <w:t>;</w:t>
      </w:r>
    </w:p>
    <w:p w14:paraId="155C2A7C" w14:textId="7ACF74A3" w:rsidR="0081722E" w:rsidRPr="00F02042" w:rsidRDefault="00F02042" w:rsidP="00F02042">
      <w:pPr>
        <w:pStyle w:val="SingleTxtG"/>
        <w:rPr>
          <w:b/>
          <w:lang w:val="en-US"/>
        </w:rPr>
      </w:pPr>
      <w:r>
        <w:rPr>
          <w:b/>
          <w:lang w:val="en-US"/>
        </w:rPr>
        <w:lastRenderedPageBreak/>
        <w:tab/>
        <w:t>(c)</w:t>
      </w:r>
      <w:r>
        <w:rPr>
          <w:b/>
          <w:lang w:val="en-US"/>
        </w:rPr>
        <w:tab/>
      </w:r>
      <w:r w:rsidR="0081722E" w:rsidRPr="00F02042">
        <w:rPr>
          <w:b/>
          <w:lang w:val="en-US"/>
        </w:rPr>
        <w:t>Establish a specialized mechanism to investigate allegations of human rights violations and acts of violence by security forces and terrorist groups</w:t>
      </w:r>
      <w:r w:rsidR="004D2AC8" w:rsidRPr="00F02042">
        <w:rPr>
          <w:b/>
          <w:lang w:val="en-US"/>
        </w:rPr>
        <w:t xml:space="preserve">, with particular attention to </w:t>
      </w:r>
      <w:r w:rsidR="00E97546" w:rsidRPr="00F02042">
        <w:rPr>
          <w:b/>
          <w:lang w:val="en-US"/>
        </w:rPr>
        <w:t>gender-based violence and other rights violations</w:t>
      </w:r>
      <w:r w:rsidR="00A91C1C" w:rsidRPr="00F02042">
        <w:rPr>
          <w:b/>
          <w:lang w:val="en-US"/>
        </w:rPr>
        <w:t xml:space="preserve"> perpetrated against women and girls, bringing perpetrators to justice and ensuring compensation and rehabilitation for victims</w:t>
      </w:r>
      <w:r w:rsidR="0081722E" w:rsidRPr="00F02042">
        <w:rPr>
          <w:b/>
          <w:lang w:val="en-US"/>
        </w:rPr>
        <w:t>; and,</w:t>
      </w:r>
    </w:p>
    <w:p w14:paraId="0BD687FB" w14:textId="77777777" w:rsidR="0081722E" w:rsidRPr="00F02042" w:rsidRDefault="00F70234" w:rsidP="00F02042">
      <w:pPr>
        <w:pStyle w:val="SingleTxtG"/>
        <w:rPr>
          <w:b/>
          <w:lang w:val="en-US"/>
        </w:rPr>
      </w:pPr>
      <w:r w:rsidRPr="00F02042">
        <w:rPr>
          <w:b/>
          <w:lang w:val="en-US"/>
        </w:rPr>
        <w:tab/>
        <w:t>(</w:t>
      </w:r>
      <w:r w:rsidR="0081722E" w:rsidRPr="00F02042">
        <w:rPr>
          <w:b/>
          <w:lang w:val="en-US"/>
        </w:rPr>
        <w:t>d</w:t>
      </w:r>
      <w:r w:rsidR="00DF33CE" w:rsidRPr="00F02042">
        <w:rPr>
          <w:b/>
          <w:lang w:val="en-US"/>
        </w:rPr>
        <w:t>)</w:t>
      </w:r>
      <w:r w:rsidR="00DF33CE" w:rsidRPr="00F02042">
        <w:rPr>
          <w:b/>
          <w:lang w:val="en-US"/>
        </w:rPr>
        <w:tab/>
      </w:r>
      <w:r w:rsidR="004D2AC8" w:rsidRPr="00F02042">
        <w:rPr>
          <w:b/>
          <w:lang w:val="en-US"/>
        </w:rPr>
        <w:t xml:space="preserve">Avail itself of the financial and technical assistance provided by international development partners to </w:t>
      </w:r>
      <w:r w:rsidR="00DF33CE" w:rsidRPr="00F02042">
        <w:rPr>
          <w:b/>
          <w:lang w:val="en-US"/>
        </w:rPr>
        <w:t xml:space="preserve">ensure the </w:t>
      </w:r>
      <w:r w:rsidR="004D2AC8" w:rsidRPr="00F02042">
        <w:rPr>
          <w:b/>
          <w:lang w:val="en-US"/>
        </w:rPr>
        <w:t>inclusion and participation</w:t>
      </w:r>
      <w:r w:rsidR="00DF33CE" w:rsidRPr="00F02042">
        <w:rPr>
          <w:b/>
          <w:lang w:val="en-US"/>
        </w:rPr>
        <w:t xml:space="preserve"> of women at all stages of the peace-making, stabilization and reconstruction process, in line with UN Security Council resolution 1325 (2000)</w:t>
      </w:r>
      <w:r w:rsidR="004D2AC8" w:rsidRPr="00F02042">
        <w:rPr>
          <w:b/>
          <w:lang w:val="en-US"/>
        </w:rPr>
        <w:t>.</w:t>
      </w:r>
      <w:r w:rsidR="0081722E" w:rsidRPr="00F02042">
        <w:rPr>
          <w:b/>
          <w:lang w:val="en-US"/>
        </w:rPr>
        <w:t xml:space="preserve"> </w:t>
      </w:r>
    </w:p>
    <w:p w14:paraId="402B4CC0" w14:textId="48070BEA" w:rsidR="00EE6E3F" w:rsidRPr="00AE48C5" w:rsidRDefault="00AE48C5" w:rsidP="00025A64">
      <w:pPr>
        <w:pStyle w:val="H23G"/>
        <w:tabs>
          <w:tab w:val="left" w:pos="1134"/>
          <w:tab w:val="left" w:pos="1701"/>
          <w:tab w:val="left" w:pos="2268"/>
          <w:tab w:val="left" w:pos="2835"/>
          <w:tab w:val="left" w:pos="3402"/>
          <w:tab w:val="left" w:pos="3969"/>
          <w:tab w:val="left" w:pos="4536"/>
          <w:tab w:val="left" w:pos="5103"/>
          <w:tab w:val="left" w:pos="5670"/>
          <w:tab w:val="right" w:pos="8505"/>
        </w:tabs>
        <w:ind w:left="0" w:firstLine="0"/>
        <w:jc w:val="both"/>
        <w:rPr>
          <w:lang w:val="en-US"/>
        </w:rPr>
      </w:pPr>
      <w:r>
        <w:rPr>
          <w:lang w:val="en-US"/>
        </w:rPr>
        <w:tab/>
      </w:r>
      <w:r>
        <w:rPr>
          <w:lang w:val="en-US"/>
        </w:rPr>
        <w:tab/>
      </w:r>
      <w:r w:rsidRPr="00AE48C5">
        <w:rPr>
          <w:lang w:val="en-US"/>
        </w:rPr>
        <w:t>Constitutional framework</w:t>
      </w:r>
      <w:r w:rsidR="00261638">
        <w:rPr>
          <w:lang w:val="en-US"/>
        </w:rPr>
        <w:t xml:space="preserve"> and </w:t>
      </w:r>
      <w:r w:rsidR="00A537ED">
        <w:rPr>
          <w:lang w:val="en-US"/>
        </w:rPr>
        <w:t>discriminatory</w:t>
      </w:r>
      <w:r w:rsidR="00EE6E3F" w:rsidRPr="00AE48C5">
        <w:rPr>
          <w:lang w:val="en-US"/>
        </w:rPr>
        <w:t xml:space="preserve"> l</w:t>
      </w:r>
      <w:r w:rsidRPr="00AE48C5">
        <w:rPr>
          <w:lang w:val="en-US"/>
        </w:rPr>
        <w:t>aws</w:t>
      </w:r>
    </w:p>
    <w:p w14:paraId="582C2DCD" w14:textId="51CDA76E" w:rsidR="00E16458" w:rsidRDefault="00EE6E3F" w:rsidP="00F02042">
      <w:pPr>
        <w:pStyle w:val="SingleTxtG"/>
        <w:rPr>
          <w:b/>
          <w:lang w:val="en-US"/>
        </w:rPr>
      </w:pPr>
      <w:r>
        <w:rPr>
          <w:lang w:val="en-US"/>
        </w:rPr>
        <w:t>12</w:t>
      </w:r>
      <w:r w:rsidRPr="00C92A36">
        <w:rPr>
          <w:lang w:val="en-US"/>
        </w:rPr>
        <w:t>.</w:t>
      </w:r>
      <w:r w:rsidRPr="00C92A36">
        <w:rPr>
          <w:lang w:val="en-US"/>
        </w:rPr>
        <w:tab/>
      </w:r>
      <w:r w:rsidR="00E16458" w:rsidRPr="00C92A36">
        <w:rPr>
          <w:lang w:val="en-US"/>
        </w:rPr>
        <w:t xml:space="preserve">The Committee </w:t>
      </w:r>
      <w:r w:rsidR="00E16458">
        <w:rPr>
          <w:lang w:val="en-US"/>
        </w:rPr>
        <w:t xml:space="preserve">welcomes the Constitutional prohibition of discrimination </w:t>
      </w:r>
      <w:r w:rsidR="005E3DF3">
        <w:rPr>
          <w:lang w:val="en-US"/>
        </w:rPr>
        <w:t xml:space="preserve">based </w:t>
      </w:r>
      <w:r w:rsidR="00E16458">
        <w:rPr>
          <w:lang w:val="en-US"/>
        </w:rPr>
        <w:t xml:space="preserve">on sex (art. 8), the State party’s pledge to eliminate all forms of discrimination against women (art 22), and </w:t>
      </w:r>
      <w:r w:rsidRPr="00534975">
        <w:rPr>
          <w:lang w:val="en-US"/>
        </w:rPr>
        <w:t>the guarantee that ratified international treaties take precedence over domestic legislation</w:t>
      </w:r>
      <w:r w:rsidR="00261638">
        <w:rPr>
          <w:lang w:val="en-US"/>
        </w:rPr>
        <w:t xml:space="preserve"> </w:t>
      </w:r>
      <w:r w:rsidR="00261638" w:rsidRPr="00534975">
        <w:rPr>
          <w:lang w:val="en-US"/>
        </w:rPr>
        <w:t>(art. 171)</w:t>
      </w:r>
      <w:r w:rsidR="00587B19">
        <w:rPr>
          <w:lang w:val="en-US"/>
        </w:rPr>
        <w:t xml:space="preserve">. However, it </w:t>
      </w:r>
      <w:r w:rsidR="00E97546">
        <w:rPr>
          <w:lang w:val="en-US"/>
        </w:rPr>
        <w:t>notes with concern</w:t>
      </w:r>
      <w:r w:rsidR="00BA67A5">
        <w:rPr>
          <w:lang w:val="en-US"/>
        </w:rPr>
        <w:t>:</w:t>
      </w:r>
    </w:p>
    <w:p w14:paraId="31E5F953" w14:textId="63CC9982" w:rsidR="00BA67A5" w:rsidRDefault="00BA67A5" w:rsidP="00F02042">
      <w:pPr>
        <w:pStyle w:val="SingleTxtG"/>
        <w:rPr>
          <w:b/>
          <w:lang w:val="en-US"/>
        </w:rPr>
      </w:pPr>
      <w:r>
        <w:rPr>
          <w:lang w:val="en-US"/>
        </w:rPr>
        <w:tab/>
        <w:t>(a)</w:t>
      </w:r>
      <w:r>
        <w:rPr>
          <w:lang w:val="en-US"/>
        </w:rPr>
        <w:tab/>
      </w:r>
      <w:r w:rsidR="00E97546">
        <w:rPr>
          <w:lang w:val="en-US"/>
        </w:rPr>
        <w:t xml:space="preserve">The </w:t>
      </w:r>
      <w:r w:rsidRPr="00916F66">
        <w:rPr>
          <w:lang w:val="en-US"/>
        </w:rPr>
        <w:t xml:space="preserve">definition </w:t>
      </w:r>
      <w:r>
        <w:rPr>
          <w:lang w:val="en-US"/>
        </w:rPr>
        <w:t>of discrimination against women which prohibits direct and indirect discrimination in accordance with article 1 of the Convention</w:t>
      </w:r>
      <w:r w:rsidR="00A254E8">
        <w:rPr>
          <w:lang w:val="en-US"/>
        </w:rPr>
        <w:t>, is not being visibly implemented by the State party in practice</w:t>
      </w:r>
      <w:r>
        <w:rPr>
          <w:lang w:val="en-US"/>
        </w:rPr>
        <w:t xml:space="preserve">; </w:t>
      </w:r>
    </w:p>
    <w:p w14:paraId="5E9AB58D" w14:textId="59C42673" w:rsidR="00BA67A5" w:rsidRDefault="00BA67A5" w:rsidP="00F02042">
      <w:pPr>
        <w:pStyle w:val="SingleTxtG"/>
        <w:rPr>
          <w:b/>
          <w:lang w:val="en-US"/>
        </w:rPr>
      </w:pPr>
      <w:r>
        <w:rPr>
          <w:lang w:val="en-US"/>
        </w:rPr>
        <w:tab/>
        <w:t>(b)</w:t>
      </w:r>
      <w:r>
        <w:rPr>
          <w:lang w:val="en-US"/>
        </w:rPr>
        <w:tab/>
      </w:r>
      <w:r w:rsidR="007E2A10">
        <w:rPr>
          <w:lang w:val="en-US"/>
        </w:rPr>
        <w:t>T</w:t>
      </w:r>
      <w:r w:rsidR="00E97546">
        <w:rPr>
          <w:lang w:val="en-US"/>
        </w:rPr>
        <w:t xml:space="preserve">hat </w:t>
      </w:r>
      <w:r w:rsidR="00E97546" w:rsidRPr="001B072C">
        <w:rPr>
          <w:lang w:val="en-US"/>
        </w:rPr>
        <w:t>Act No. 62-11 o</w:t>
      </w:r>
      <w:r w:rsidR="00E97546">
        <w:rPr>
          <w:lang w:val="en-US"/>
        </w:rPr>
        <w:t>f 16 March 1962</w:t>
      </w:r>
      <w:r w:rsidR="00E97546" w:rsidRPr="001B072C">
        <w:rPr>
          <w:lang w:val="en-US"/>
        </w:rPr>
        <w:t xml:space="preserve"> and Law No. 2004-50 of 22 July 2004</w:t>
      </w:r>
      <w:r w:rsidR="00E97546">
        <w:rPr>
          <w:lang w:val="en-US"/>
        </w:rPr>
        <w:t xml:space="preserve"> give </w:t>
      </w:r>
      <w:r w:rsidR="00E97546" w:rsidRPr="00534975">
        <w:rPr>
          <w:lang w:val="en-US"/>
        </w:rPr>
        <w:t xml:space="preserve">precedence </w:t>
      </w:r>
      <w:r w:rsidR="00E97546">
        <w:rPr>
          <w:lang w:val="en-US"/>
        </w:rPr>
        <w:t>to the application of</w:t>
      </w:r>
      <w:r w:rsidR="00E97546" w:rsidRPr="00534975">
        <w:rPr>
          <w:lang w:val="en-US"/>
        </w:rPr>
        <w:t xml:space="preserve"> customary law </w:t>
      </w:r>
      <w:r w:rsidR="00E97546">
        <w:rPr>
          <w:lang w:val="en-US"/>
        </w:rPr>
        <w:t xml:space="preserve">over civil law </w:t>
      </w:r>
      <w:r w:rsidR="00E97546" w:rsidRPr="00534975">
        <w:rPr>
          <w:lang w:val="en-US"/>
        </w:rPr>
        <w:t xml:space="preserve">in most personal status matters, </w:t>
      </w:r>
      <w:r w:rsidR="00E97546">
        <w:rPr>
          <w:lang w:val="en-US"/>
        </w:rPr>
        <w:t>including</w:t>
      </w:r>
      <w:r w:rsidR="00E97546" w:rsidRPr="00534975">
        <w:rPr>
          <w:lang w:val="en-US"/>
        </w:rPr>
        <w:t xml:space="preserve"> marriage, divorce, direct descent, inheritance, settlement of assets and wills, and in</w:t>
      </w:r>
      <w:r w:rsidR="00E97546">
        <w:rPr>
          <w:lang w:val="en-US"/>
        </w:rPr>
        <w:t xml:space="preserve"> relation to property ownership</w:t>
      </w:r>
      <w:r w:rsidR="007E2A10">
        <w:rPr>
          <w:lang w:val="en-US"/>
        </w:rPr>
        <w:t>, adversely affecting women and girls</w:t>
      </w:r>
      <w:r>
        <w:rPr>
          <w:lang w:val="en-US"/>
        </w:rPr>
        <w:t>;</w:t>
      </w:r>
      <w:r w:rsidR="00B800D9">
        <w:rPr>
          <w:lang w:val="en-US"/>
        </w:rPr>
        <w:t xml:space="preserve"> and,</w:t>
      </w:r>
    </w:p>
    <w:p w14:paraId="39E85A23" w14:textId="6CE2F454" w:rsidR="000E7267" w:rsidRDefault="00BA67A5" w:rsidP="00F02042">
      <w:pPr>
        <w:pStyle w:val="SingleTxtG"/>
        <w:rPr>
          <w:lang w:val="en-US"/>
        </w:rPr>
      </w:pPr>
      <w:r>
        <w:rPr>
          <w:lang w:val="en-US"/>
        </w:rPr>
        <w:tab/>
        <w:t>(c)</w:t>
      </w:r>
      <w:r>
        <w:rPr>
          <w:lang w:val="en-US"/>
        </w:rPr>
        <w:tab/>
      </w:r>
      <w:r w:rsidR="0015030B">
        <w:t>N</w:t>
      </w:r>
      <w:r w:rsidR="00E16458">
        <w:rPr>
          <w:lang w:val="en-US"/>
        </w:rPr>
        <w:t xml:space="preserve">o timeframe </w:t>
      </w:r>
      <w:r w:rsidR="0015030B">
        <w:rPr>
          <w:lang w:val="en-US"/>
        </w:rPr>
        <w:t xml:space="preserve">is </w:t>
      </w:r>
      <w:r w:rsidR="00E16458">
        <w:rPr>
          <w:lang w:val="en-US"/>
        </w:rPr>
        <w:t>envisaged to repeal discriminatory legislation, including</w:t>
      </w:r>
      <w:r>
        <w:rPr>
          <w:lang w:val="en-US"/>
        </w:rPr>
        <w:t xml:space="preserve"> </w:t>
      </w:r>
      <w:r w:rsidR="00F95B5A">
        <w:rPr>
          <w:lang w:val="en-US"/>
        </w:rPr>
        <w:t xml:space="preserve">provisions in the </w:t>
      </w:r>
      <w:r w:rsidR="00E16458">
        <w:rPr>
          <w:lang w:val="en-US"/>
        </w:rPr>
        <w:t xml:space="preserve">Civil Code regulating, </w:t>
      </w:r>
      <w:r w:rsidR="00E16458" w:rsidRPr="006D60BB">
        <w:rPr>
          <w:i/>
          <w:lang w:val="en-US"/>
        </w:rPr>
        <w:t>inter alia</w:t>
      </w:r>
      <w:r w:rsidR="00E16458">
        <w:rPr>
          <w:lang w:val="en-US"/>
        </w:rPr>
        <w:t>, the matrimonial home</w:t>
      </w:r>
      <w:r w:rsidR="00F95B5A">
        <w:rPr>
          <w:lang w:val="en-US"/>
        </w:rPr>
        <w:t xml:space="preserve"> (art. </w:t>
      </w:r>
      <w:r w:rsidR="00794774">
        <w:rPr>
          <w:lang w:val="en-US"/>
        </w:rPr>
        <w:t>108</w:t>
      </w:r>
      <w:r w:rsidR="00F95B5A">
        <w:rPr>
          <w:lang w:val="en-US"/>
        </w:rPr>
        <w:t>)</w:t>
      </w:r>
      <w:r w:rsidR="00E16458">
        <w:rPr>
          <w:lang w:val="en-US"/>
        </w:rPr>
        <w:t>, the status of head of household and paternal power</w:t>
      </w:r>
      <w:r w:rsidR="00F95B5A">
        <w:rPr>
          <w:lang w:val="en-US"/>
        </w:rPr>
        <w:t xml:space="preserve"> (art. </w:t>
      </w:r>
      <w:r w:rsidR="00794774">
        <w:rPr>
          <w:lang w:val="en-US"/>
        </w:rPr>
        <w:t>213 to 216</w:t>
      </w:r>
      <w:r w:rsidR="00F95B5A">
        <w:rPr>
          <w:lang w:val="en-US"/>
        </w:rPr>
        <w:t>)</w:t>
      </w:r>
      <w:r w:rsidR="00E16458">
        <w:rPr>
          <w:lang w:val="en-US"/>
        </w:rPr>
        <w:t>, the legal capacity of a married women</w:t>
      </w:r>
      <w:r w:rsidR="00794774">
        <w:rPr>
          <w:lang w:val="en-US"/>
        </w:rPr>
        <w:t xml:space="preserve"> (art. 506 to 507)</w:t>
      </w:r>
      <w:r w:rsidR="00E16458">
        <w:rPr>
          <w:lang w:val="en-US"/>
        </w:rPr>
        <w:t>, remarriage</w:t>
      </w:r>
      <w:r w:rsidR="00794774">
        <w:rPr>
          <w:lang w:val="en-US"/>
        </w:rPr>
        <w:t xml:space="preserve"> (art. 228, 296)</w:t>
      </w:r>
      <w:r w:rsidR="00E16458">
        <w:rPr>
          <w:lang w:val="en-US"/>
        </w:rPr>
        <w:t>, the exercise of guardianship over children</w:t>
      </w:r>
      <w:r w:rsidR="00794774">
        <w:rPr>
          <w:lang w:val="en-US"/>
        </w:rPr>
        <w:t xml:space="preserve"> (art. 389 to 396, 405)</w:t>
      </w:r>
      <w:r w:rsidR="00E16458">
        <w:rPr>
          <w:lang w:val="en-US"/>
        </w:rPr>
        <w:t xml:space="preserve">, </w:t>
      </w:r>
      <w:r w:rsidR="000B0738">
        <w:rPr>
          <w:lang w:val="en-US"/>
        </w:rPr>
        <w:t xml:space="preserve">and the </w:t>
      </w:r>
      <w:r w:rsidR="00E16458">
        <w:rPr>
          <w:lang w:val="en-US"/>
        </w:rPr>
        <w:t>distribution of marital assets</w:t>
      </w:r>
      <w:r w:rsidR="00794774">
        <w:rPr>
          <w:lang w:val="en-US"/>
        </w:rPr>
        <w:t xml:space="preserve"> (art. 818)</w:t>
      </w:r>
      <w:r w:rsidR="000E7267">
        <w:rPr>
          <w:lang w:val="en-US"/>
        </w:rPr>
        <w:t>; and,</w:t>
      </w:r>
    </w:p>
    <w:p w14:paraId="7033B83D" w14:textId="0B874E71" w:rsidR="00261638" w:rsidRPr="00E16458" w:rsidRDefault="00470B9D" w:rsidP="00F02042">
      <w:pPr>
        <w:pStyle w:val="SingleTxtG"/>
        <w:rPr>
          <w:b/>
          <w:lang w:val="en-US"/>
        </w:rPr>
      </w:pPr>
      <w:r>
        <w:rPr>
          <w:lang w:val="en-US"/>
        </w:rPr>
        <w:tab/>
        <w:t>(</w:t>
      </w:r>
      <w:r w:rsidR="00A254E8">
        <w:rPr>
          <w:lang w:val="en-US"/>
        </w:rPr>
        <w:t>d</w:t>
      </w:r>
      <w:r w:rsidR="000E7267">
        <w:rPr>
          <w:lang w:val="en-US"/>
        </w:rPr>
        <w:t>)</w:t>
      </w:r>
      <w:r w:rsidR="000E7267">
        <w:rPr>
          <w:lang w:val="en-US"/>
        </w:rPr>
        <w:tab/>
        <w:t>That the draft Personal Status Code (2010) was not adopted due to hostility of certain groups.</w:t>
      </w:r>
    </w:p>
    <w:p w14:paraId="0B2FEA15" w14:textId="235D6FE9" w:rsidR="00BA285F" w:rsidRPr="00F02042" w:rsidRDefault="00EE6E3F" w:rsidP="00F02042">
      <w:pPr>
        <w:pStyle w:val="SingleTxtG"/>
        <w:rPr>
          <w:b/>
          <w:lang w:val="en-US"/>
        </w:rPr>
      </w:pPr>
      <w:r w:rsidRPr="00F02042">
        <w:rPr>
          <w:lang w:val="en-US"/>
        </w:rPr>
        <w:t>13.</w:t>
      </w:r>
      <w:r w:rsidRPr="00F02042">
        <w:rPr>
          <w:lang w:val="en-US"/>
        </w:rPr>
        <w:tab/>
      </w:r>
      <w:r w:rsidR="009B1E73" w:rsidRPr="00F02042">
        <w:rPr>
          <w:b/>
          <w:lang w:val="en-US"/>
        </w:rPr>
        <w:t>With reference to its general recommendation No. 28 (2010) on the core obligations of States parties under article 2 of the Convention, t</w:t>
      </w:r>
      <w:r w:rsidR="00DD5E99" w:rsidRPr="00F02042">
        <w:rPr>
          <w:b/>
          <w:lang w:val="en-US"/>
        </w:rPr>
        <w:t xml:space="preserve">he Committee </w:t>
      </w:r>
      <w:r w:rsidR="00F95B5A" w:rsidRPr="00F02042">
        <w:rPr>
          <w:b/>
          <w:lang w:val="en-US"/>
        </w:rPr>
        <w:t xml:space="preserve">recommends that </w:t>
      </w:r>
      <w:r w:rsidR="00BA285F" w:rsidRPr="00F02042">
        <w:rPr>
          <w:b/>
          <w:lang w:val="en-US"/>
        </w:rPr>
        <w:t xml:space="preserve">the State party accord priority to its law reform process taking into consideration the links between articles 1 and 2 of the Convention and Sustainable Development Goal 5.1, to end all forms of discrimination against all women and girls everywhere, and within a set </w:t>
      </w:r>
      <w:r w:rsidR="005E3DF3" w:rsidRPr="00F02042">
        <w:rPr>
          <w:b/>
          <w:lang w:val="en-US"/>
        </w:rPr>
        <w:t>time</w:t>
      </w:r>
      <w:r w:rsidR="00BA285F" w:rsidRPr="00F02042">
        <w:rPr>
          <w:b/>
          <w:lang w:val="en-US"/>
        </w:rPr>
        <w:t>frame</w:t>
      </w:r>
      <w:r w:rsidR="006D66CA" w:rsidRPr="00F02042">
        <w:rPr>
          <w:b/>
          <w:lang w:val="en-US"/>
        </w:rPr>
        <w:t xml:space="preserve"> to</w:t>
      </w:r>
      <w:r w:rsidR="00BA285F" w:rsidRPr="00F02042">
        <w:rPr>
          <w:b/>
          <w:lang w:val="en-US"/>
        </w:rPr>
        <w:t>:</w:t>
      </w:r>
    </w:p>
    <w:p w14:paraId="4833ED16" w14:textId="11973E87" w:rsidR="00BA285F" w:rsidRDefault="00F02042" w:rsidP="00F02042">
      <w:pPr>
        <w:pStyle w:val="SingleTxtG"/>
        <w:ind w:firstLine="567"/>
        <w:rPr>
          <w:b/>
          <w:lang w:val="en-US"/>
        </w:rPr>
      </w:pPr>
      <w:r w:rsidRPr="00BF6EA5">
        <w:rPr>
          <w:b/>
          <w:lang w:val="en-US"/>
        </w:rPr>
        <w:t>(a)</w:t>
      </w:r>
      <w:r w:rsidR="00BA285F" w:rsidRPr="00B55CFF">
        <w:rPr>
          <w:b/>
          <w:lang w:val="en-US"/>
        </w:rPr>
        <w:tab/>
      </w:r>
      <w:r w:rsidR="00B55CFF">
        <w:rPr>
          <w:b/>
          <w:lang w:val="en-US"/>
        </w:rPr>
        <w:t>Reinforce</w:t>
      </w:r>
      <w:r w:rsidR="00BF6EA5" w:rsidRPr="00C66D7B">
        <w:rPr>
          <w:b/>
          <w:lang w:val="en-US"/>
        </w:rPr>
        <w:t xml:space="preserve"> the </w:t>
      </w:r>
      <w:r w:rsidR="00B55CFF">
        <w:rPr>
          <w:b/>
          <w:lang w:val="en-US"/>
        </w:rPr>
        <w:t xml:space="preserve">substantive equality of women in </w:t>
      </w:r>
      <w:r w:rsidR="00BF6EA5" w:rsidRPr="00C66D7B">
        <w:rPr>
          <w:b/>
          <w:lang w:val="en-US"/>
        </w:rPr>
        <w:t xml:space="preserve">law and </w:t>
      </w:r>
      <w:r w:rsidR="00B55CFF">
        <w:rPr>
          <w:b/>
          <w:lang w:val="en-US"/>
        </w:rPr>
        <w:t xml:space="preserve">in </w:t>
      </w:r>
      <w:r w:rsidR="00BF6EA5" w:rsidRPr="00C66D7B">
        <w:rPr>
          <w:b/>
          <w:lang w:val="en-US"/>
        </w:rPr>
        <w:t>practice</w:t>
      </w:r>
      <w:r w:rsidR="00BA285F" w:rsidRPr="00BF6EA5">
        <w:rPr>
          <w:b/>
          <w:lang w:val="en-US"/>
        </w:rPr>
        <w:t xml:space="preserve"> </w:t>
      </w:r>
      <w:r w:rsidR="00B55CFF">
        <w:rPr>
          <w:b/>
          <w:lang w:val="en-US"/>
        </w:rPr>
        <w:t xml:space="preserve">by ensuring the application </w:t>
      </w:r>
      <w:r w:rsidR="00BF6EA5" w:rsidRPr="00C66D7B">
        <w:rPr>
          <w:b/>
          <w:lang w:val="en-US"/>
        </w:rPr>
        <w:t xml:space="preserve">of </w:t>
      </w:r>
      <w:r w:rsidR="00BA285F" w:rsidRPr="00BF6EA5">
        <w:rPr>
          <w:b/>
          <w:lang w:val="en-US"/>
        </w:rPr>
        <w:t>a definition of discrimination against women</w:t>
      </w:r>
      <w:r w:rsidR="00B55CFF">
        <w:rPr>
          <w:b/>
          <w:lang w:val="en-US"/>
        </w:rPr>
        <w:t xml:space="preserve"> that is</w:t>
      </w:r>
      <w:r w:rsidR="00BA285F" w:rsidRPr="00BF6EA5">
        <w:rPr>
          <w:b/>
          <w:lang w:val="en-US"/>
        </w:rPr>
        <w:t xml:space="preserve"> in line with article 1, covering direct and indirect discrimination in both the public and private spheres, and recognizing </w:t>
      </w:r>
      <w:r w:rsidR="00BA285F" w:rsidRPr="00B55CFF">
        <w:rPr>
          <w:b/>
          <w:lang w:val="en-US"/>
        </w:rPr>
        <w:t>intersecting forms of discrimination;</w:t>
      </w:r>
    </w:p>
    <w:p w14:paraId="0B1B4D72" w14:textId="45ABB94F" w:rsidR="00261638" w:rsidRPr="00F02042" w:rsidRDefault="00F02042" w:rsidP="00F02042">
      <w:pPr>
        <w:pStyle w:val="SingleTxtG"/>
        <w:rPr>
          <w:b/>
          <w:lang w:val="en-US"/>
        </w:rPr>
      </w:pPr>
      <w:r>
        <w:rPr>
          <w:b/>
          <w:lang w:val="en-US"/>
        </w:rPr>
        <w:tab/>
        <w:t>(b)</w:t>
      </w:r>
      <w:r w:rsidR="00BA285F" w:rsidRPr="00F02042">
        <w:rPr>
          <w:b/>
          <w:lang w:val="en-US"/>
        </w:rPr>
        <w:tab/>
        <w:t>Harmonize statutory and customary laws with the provisions of the Convention and repeal all legislation that is incompatible with the principle of equality</w:t>
      </w:r>
      <w:r w:rsidR="00F95B5A" w:rsidRPr="00F02042">
        <w:rPr>
          <w:b/>
          <w:lang w:val="en-US"/>
        </w:rPr>
        <w:t xml:space="preserve"> of women and men</w:t>
      </w:r>
      <w:r w:rsidR="00BA285F" w:rsidRPr="00F02042">
        <w:rPr>
          <w:b/>
          <w:lang w:val="en-US"/>
        </w:rPr>
        <w:t xml:space="preserve"> and </w:t>
      </w:r>
      <w:r w:rsidR="00F95B5A" w:rsidRPr="00F02042">
        <w:rPr>
          <w:b/>
          <w:lang w:val="en-US"/>
        </w:rPr>
        <w:t xml:space="preserve">the prohibition of sex-based </w:t>
      </w:r>
      <w:r w:rsidR="00BA285F" w:rsidRPr="00F02042">
        <w:rPr>
          <w:b/>
          <w:lang w:val="en-US"/>
        </w:rPr>
        <w:t>discrimination;</w:t>
      </w:r>
    </w:p>
    <w:p w14:paraId="2D6751BD" w14:textId="72466BAD" w:rsidR="00F25AAF" w:rsidRPr="00F02042" w:rsidRDefault="00BA285F" w:rsidP="000E7267">
      <w:pPr>
        <w:pStyle w:val="SingleTxtG"/>
        <w:rPr>
          <w:b/>
          <w:lang w:val="en-US"/>
        </w:rPr>
      </w:pPr>
      <w:r w:rsidRPr="00F02042">
        <w:rPr>
          <w:b/>
          <w:lang w:val="en-US"/>
        </w:rPr>
        <w:tab/>
        <w:t>(c</w:t>
      </w:r>
      <w:r w:rsidR="00F02042">
        <w:rPr>
          <w:b/>
          <w:lang w:val="en-US"/>
        </w:rPr>
        <w:t>)</w:t>
      </w:r>
      <w:r w:rsidRPr="00F02042">
        <w:rPr>
          <w:b/>
          <w:lang w:val="en-US"/>
        </w:rPr>
        <w:tab/>
      </w:r>
      <w:r w:rsidR="00EE6E3F" w:rsidRPr="00F02042">
        <w:rPr>
          <w:b/>
          <w:lang w:val="en-US"/>
        </w:rPr>
        <w:t xml:space="preserve">Initiate open and inclusive public debates regarding diversity of opinion and interpretation with regard to </w:t>
      </w:r>
      <w:r w:rsidR="0006100D" w:rsidRPr="00F02042">
        <w:rPr>
          <w:b/>
          <w:lang w:val="en-US"/>
        </w:rPr>
        <w:t>customary</w:t>
      </w:r>
      <w:r w:rsidR="00EE6E3F" w:rsidRPr="00F02042">
        <w:rPr>
          <w:b/>
          <w:lang w:val="en-US"/>
        </w:rPr>
        <w:t xml:space="preserve"> </w:t>
      </w:r>
      <w:r w:rsidRPr="00F02042">
        <w:rPr>
          <w:b/>
          <w:lang w:val="en-US"/>
        </w:rPr>
        <w:t>personal</w:t>
      </w:r>
      <w:r w:rsidR="00EE6E3F" w:rsidRPr="00F02042">
        <w:rPr>
          <w:b/>
          <w:lang w:val="en-US"/>
        </w:rPr>
        <w:t xml:space="preserve"> laws and practices and</w:t>
      </w:r>
      <w:r w:rsidR="0088681D" w:rsidRPr="00F02042">
        <w:rPr>
          <w:b/>
          <w:lang w:val="en-US"/>
        </w:rPr>
        <w:t>, with the participation of women’s civil society organizations,</w:t>
      </w:r>
      <w:r w:rsidR="00EE6E3F" w:rsidRPr="00F02042">
        <w:rPr>
          <w:b/>
          <w:lang w:val="en-US"/>
        </w:rPr>
        <w:t xml:space="preserve"> raise awareness </w:t>
      </w:r>
      <w:r w:rsidR="00F95B5A" w:rsidRPr="00F02042">
        <w:rPr>
          <w:b/>
          <w:lang w:val="en-US"/>
        </w:rPr>
        <w:t>among</w:t>
      </w:r>
      <w:r w:rsidR="00EE6E3F" w:rsidRPr="00F02042">
        <w:rPr>
          <w:b/>
          <w:lang w:val="en-US"/>
        </w:rPr>
        <w:t xml:space="preserve"> parliamentarians</w:t>
      </w:r>
      <w:r w:rsidR="006326F0" w:rsidRPr="00F02042">
        <w:rPr>
          <w:b/>
          <w:lang w:val="en-US"/>
        </w:rPr>
        <w:t>, traditional leaders</w:t>
      </w:r>
      <w:r w:rsidR="00EE6E3F" w:rsidRPr="00F02042">
        <w:rPr>
          <w:b/>
          <w:lang w:val="en-US"/>
        </w:rPr>
        <w:t xml:space="preserve"> and the general public </w:t>
      </w:r>
      <w:r w:rsidR="00F95B5A" w:rsidRPr="00F02042">
        <w:rPr>
          <w:b/>
          <w:lang w:val="en-US"/>
        </w:rPr>
        <w:t>on</w:t>
      </w:r>
      <w:r w:rsidR="00EE6E3F" w:rsidRPr="00F02042">
        <w:rPr>
          <w:b/>
          <w:lang w:val="en-US"/>
        </w:rPr>
        <w:t xml:space="preserve"> the importance of comprehensive, consistent and coherent legal reform to achieve substantive equality of women and men</w:t>
      </w:r>
      <w:r w:rsidR="000E7267">
        <w:rPr>
          <w:b/>
          <w:lang w:val="en-US"/>
        </w:rPr>
        <w:t xml:space="preserve"> in view of building consensus for the adoption of a non-discriminatory Personal Status Code</w:t>
      </w:r>
      <w:r w:rsidR="00F25AAF" w:rsidRPr="00F02042">
        <w:rPr>
          <w:b/>
          <w:lang w:val="en-US"/>
        </w:rPr>
        <w:t>;</w:t>
      </w:r>
      <w:r w:rsidR="000E7267">
        <w:rPr>
          <w:b/>
          <w:lang w:val="en-US"/>
        </w:rPr>
        <w:t xml:space="preserve"> </w:t>
      </w:r>
      <w:r w:rsidR="00F25AAF" w:rsidRPr="00F02042">
        <w:rPr>
          <w:b/>
          <w:lang w:val="en-US"/>
        </w:rPr>
        <w:t>and,</w:t>
      </w:r>
    </w:p>
    <w:p w14:paraId="3176C9D5" w14:textId="1FA2B0CF" w:rsidR="00DD5E99" w:rsidRPr="00F02042" w:rsidRDefault="00F25AAF" w:rsidP="00F02042">
      <w:pPr>
        <w:pStyle w:val="SingleTxtG"/>
        <w:rPr>
          <w:b/>
          <w:lang w:val="en-US"/>
        </w:rPr>
      </w:pPr>
      <w:r w:rsidRPr="00F02042">
        <w:rPr>
          <w:b/>
          <w:lang w:val="en-US"/>
        </w:rPr>
        <w:tab/>
        <w:t>(d)</w:t>
      </w:r>
      <w:r w:rsidRPr="00F02042">
        <w:rPr>
          <w:b/>
          <w:lang w:val="en-US"/>
        </w:rPr>
        <w:tab/>
        <w:t xml:space="preserve">Expedite the ratification of the </w:t>
      </w:r>
      <w:r w:rsidR="002D7B0D" w:rsidRPr="00F02042">
        <w:rPr>
          <w:b/>
          <w:lang w:val="en-US"/>
        </w:rPr>
        <w:t>Protocol to the African Charter on Human and Peoples' Rights on the Rights of Women in Africa.</w:t>
      </w:r>
    </w:p>
    <w:p w14:paraId="3529CBCB" w14:textId="7DE9F370" w:rsidR="00EE6E3F" w:rsidRPr="00534975" w:rsidRDefault="00F02042" w:rsidP="00F02042">
      <w:pPr>
        <w:pStyle w:val="H23G"/>
        <w:rPr>
          <w:lang w:val="en-US"/>
        </w:rPr>
      </w:pPr>
      <w:r>
        <w:rPr>
          <w:lang w:val="en-US"/>
        </w:rPr>
        <w:tab/>
      </w:r>
      <w:r>
        <w:rPr>
          <w:lang w:val="en-US"/>
        </w:rPr>
        <w:tab/>
      </w:r>
      <w:r w:rsidR="00EE6E3F" w:rsidRPr="00534975">
        <w:rPr>
          <w:lang w:val="en-US"/>
        </w:rPr>
        <w:t>Access to justice</w:t>
      </w:r>
    </w:p>
    <w:p w14:paraId="1F7BF54D" w14:textId="4553680B" w:rsidR="00F0244C" w:rsidRDefault="00AC5790" w:rsidP="00F02042">
      <w:pPr>
        <w:pStyle w:val="SingleTxtG"/>
        <w:rPr>
          <w:b/>
          <w:lang w:val="en-US"/>
        </w:rPr>
      </w:pPr>
      <w:r>
        <w:rPr>
          <w:lang w:val="en-US"/>
        </w:rPr>
        <w:t>1</w:t>
      </w:r>
      <w:r w:rsidR="00864237">
        <w:rPr>
          <w:lang w:val="en-US"/>
        </w:rPr>
        <w:t>4</w:t>
      </w:r>
      <w:r w:rsidR="00EE6E3F" w:rsidRPr="003332CC">
        <w:rPr>
          <w:lang w:val="en-US"/>
        </w:rPr>
        <w:t>.</w:t>
      </w:r>
      <w:r w:rsidR="00EE6E3F" w:rsidRPr="003332CC">
        <w:rPr>
          <w:lang w:val="en-US"/>
        </w:rPr>
        <w:tab/>
      </w:r>
      <w:r w:rsidR="00EE6E3F">
        <w:rPr>
          <w:lang w:val="en-US"/>
        </w:rPr>
        <w:t xml:space="preserve">The Committee notes the State party’s </w:t>
      </w:r>
      <w:r w:rsidR="00C26945">
        <w:rPr>
          <w:lang w:val="en-US"/>
        </w:rPr>
        <w:t>declaration</w:t>
      </w:r>
      <w:r w:rsidR="00EE6E3F">
        <w:rPr>
          <w:lang w:val="en-US"/>
        </w:rPr>
        <w:t xml:space="preserve"> </w:t>
      </w:r>
      <w:r w:rsidR="00C26945">
        <w:rPr>
          <w:lang w:val="en-US"/>
        </w:rPr>
        <w:t>of free</w:t>
      </w:r>
      <w:r w:rsidR="00EE6E3F">
        <w:rPr>
          <w:lang w:val="en-US"/>
        </w:rPr>
        <w:t xml:space="preserve"> judicial assistance </w:t>
      </w:r>
      <w:r w:rsidR="00C26945">
        <w:rPr>
          <w:lang w:val="en-US"/>
        </w:rPr>
        <w:t>for</w:t>
      </w:r>
      <w:r w:rsidR="00EE6E3F">
        <w:rPr>
          <w:lang w:val="en-US"/>
        </w:rPr>
        <w:t xml:space="preserve"> </w:t>
      </w:r>
      <w:r w:rsidR="00C26945">
        <w:rPr>
          <w:lang w:val="en-US"/>
        </w:rPr>
        <w:t xml:space="preserve">all </w:t>
      </w:r>
      <w:r w:rsidR="00EE6E3F">
        <w:rPr>
          <w:lang w:val="en-US"/>
        </w:rPr>
        <w:t xml:space="preserve">women in </w:t>
      </w:r>
      <w:r w:rsidR="006570AF">
        <w:rPr>
          <w:lang w:val="en-US"/>
        </w:rPr>
        <w:t xml:space="preserve">select </w:t>
      </w:r>
      <w:r w:rsidR="00EE6E3F">
        <w:rPr>
          <w:lang w:val="en-US"/>
        </w:rPr>
        <w:t>court proce</w:t>
      </w:r>
      <w:r w:rsidR="00F95B5A">
        <w:rPr>
          <w:lang w:val="en-US"/>
        </w:rPr>
        <w:t>edings</w:t>
      </w:r>
      <w:r w:rsidR="006570AF">
        <w:rPr>
          <w:lang w:val="en-US"/>
        </w:rPr>
        <w:t>, including</w:t>
      </w:r>
      <w:r w:rsidR="00EE6E3F">
        <w:rPr>
          <w:lang w:val="en-US"/>
        </w:rPr>
        <w:t xml:space="preserve"> </w:t>
      </w:r>
      <w:r w:rsidR="00F95B5A">
        <w:rPr>
          <w:lang w:val="en-US"/>
        </w:rPr>
        <w:t xml:space="preserve">in </w:t>
      </w:r>
      <w:r w:rsidR="00C26945">
        <w:rPr>
          <w:lang w:val="en-US"/>
        </w:rPr>
        <w:t xml:space="preserve">family </w:t>
      </w:r>
      <w:r w:rsidR="00F95B5A">
        <w:rPr>
          <w:lang w:val="en-US"/>
        </w:rPr>
        <w:t xml:space="preserve">law </w:t>
      </w:r>
      <w:r w:rsidR="00C26945">
        <w:rPr>
          <w:lang w:val="en-US"/>
        </w:rPr>
        <w:t>matters</w:t>
      </w:r>
      <w:r w:rsidR="00F0244C">
        <w:rPr>
          <w:lang w:val="en-US"/>
        </w:rPr>
        <w:t>.</w:t>
      </w:r>
      <w:r w:rsidR="00EE6E3F">
        <w:rPr>
          <w:lang w:val="en-US"/>
        </w:rPr>
        <w:t xml:space="preserve"> </w:t>
      </w:r>
      <w:r w:rsidR="00F0244C">
        <w:rPr>
          <w:lang w:val="en-US"/>
        </w:rPr>
        <w:t>It further notes</w:t>
      </w:r>
      <w:r w:rsidR="00EE6E3F">
        <w:rPr>
          <w:lang w:val="en-US"/>
        </w:rPr>
        <w:t xml:space="preserve"> </w:t>
      </w:r>
      <w:r w:rsidR="00716F03">
        <w:rPr>
          <w:lang w:val="en-US"/>
        </w:rPr>
        <w:t>the</w:t>
      </w:r>
      <w:r w:rsidR="00EE6E3F">
        <w:rPr>
          <w:lang w:val="en-US"/>
        </w:rPr>
        <w:t xml:space="preserve"> </w:t>
      </w:r>
      <w:r w:rsidR="00EE6E3F" w:rsidRPr="00534975">
        <w:rPr>
          <w:lang w:val="en-US"/>
        </w:rPr>
        <w:t>capacity building programmes for judges</w:t>
      </w:r>
      <w:r w:rsidR="00EE6E3F">
        <w:rPr>
          <w:lang w:val="en-US"/>
        </w:rPr>
        <w:t>, lawyers and law enforcement professionals</w:t>
      </w:r>
      <w:r w:rsidR="00F0244C">
        <w:rPr>
          <w:lang w:val="en-US"/>
        </w:rPr>
        <w:t xml:space="preserve"> </w:t>
      </w:r>
      <w:r w:rsidR="00716F03">
        <w:rPr>
          <w:lang w:val="en-US"/>
        </w:rPr>
        <w:t xml:space="preserve">on the Convention </w:t>
      </w:r>
      <w:r w:rsidR="00F0244C">
        <w:rPr>
          <w:lang w:val="en-US"/>
        </w:rPr>
        <w:t xml:space="preserve">but </w:t>
      </w:r>
      <w:r w:rsidR="00F0244C" w:rsidRPr="0087383C">
        <w:rPr>
          <w:lang w:val="en-US"/>
        </w:rPr>
        <w:t xml:space="preserve">regrets the </w:t>
      </w:r>
      <w:r w:rsidR="00F0244C">
        <w:rPr>
          <w:lang w:val="en-US"/>
        </w:rPr>
        <w:t>l</w:t>
      </w:r>
      <w:r w:rsidR="00F0244C" w:rsidRPr="003332CC">
        <w:rPr>
          <w:lang w:val="en-US"/>
        </w:rPr>
        <w:t xml:space="preserve">ack of </w:t>
      </w:r>
      <w:r w:rsidR="00F0244C">
        <w:rPr>
          <w:lang w:val="en-US"/>
        </w:rPr>
        <w:t>information</w:t>
      </w:r>
      <w:r w:rsidR="00F0244C" w:rsidRPr="003332CC">
        <w:rPr>
          <w:lang w:val="en-US"/>
        </w:rPr>
        <w:t xml:space="preserve"> on any </w:t>
      </w:r>
      <w:r w:rsidR="00F0244C">
        <w:rPr>
          <w:lang w:val="en-US"/>
        </w:rPr>
        <w:t>cases in which the</w:t>
      </w:r>
      <w:r w:rsidR="00F0244C" w:rsidRPr="003332CC">
        <w:rPr>
          <w:lang w:val="en-US"/>
        </w:rPr>
        <w:t xml:space="preserve"> Convention</w:t>
      </w:r>
      <w:r w:rsidR="00F0244C">
        <w:rPr>
          <w:lang w:val="en-US"/>
        </w:rPr>
        <w:t xml:space="preserve"> has been invoked before the national courts</w:t>
      </w:r>
      <w:r w:rsidR="00F0244C" w:rsidRPr="003332CC">
        <w:rPr>
          <w:lang w:val="en-US"/>
        </w:rPr>
        <w:t>.</w:t>
      </w:r>
      <w:r w:rsidR="00EE6E3F" w:rsidRPr="00534975">
        <w:rPr>
          <w:lang w:val="en-US"/>
        </w:rPr>
        <w:t xml:space="preserve"> </w:t>
      </w:r>
      <w:r w:rsidR="00F0244C">
        <w:rPr>
          <w:lang w:val="en-US"/>
        </w:rPr>
        <w:t>The Committee</w:t>
      </w:r>
      <w:r w:rsidR="00EE6E3F" w:rsidRPr="00534975">
        <w:rPr>
          <w:lang w:val="en-US"/>
        </w:rPr>
        <w:t xml:space="preserve"> </w:t>
      </w:r>
      <w:r w:rsidR="00F95B5A">
        <w:rPr>
          <w:lang w:val="en-US"/>
        </w:rPr>
        <w:t>remains</w:t>
      </w:r>
      <w:r w:rsidR="00C26945">
        <w:rPr>
          <w:lang w:val="en-US"/>
        </w:rPr>
        <w:t xml:space="preserve"> concerned </w:t>
      </w:r>
      <w:r w:rsidR="00F95B5A">
        <w:rPr>
          <w:lang w:val="en-US"/>
        </w:rPr>
        <w:t>about</w:t>
      </w:r>
      <w:r w:rsidR="00C26945">
        <w:rPr>
          <w:lang w:val="en-US"/>
        </w:rPr>
        <w:t xml:space="preserve"> women’s </w:t>
      </w:r>
      <w:r w:rsidR="00F95B5A">
        <w:rPr>
          <w:lang w:val="en-US"/>
        </w:rPr>
        <w:t xml:space="preserve">limited </w:t>
      </w:r>
      <w:r w:rsidR="00C26945">
        <w:rPr>
          <w:lang w:val="en-US"/>
        </w:rPr>
        <w:t xml:space="preserve">access to justice </w:t>
      </w:r>
      <w:r w:rsidR="00FC2B0D">
        <w:rPr>
          <w:lang w:val="en-US"/>
        </w:rPr>
        <w:t xml:space="preserve">mainly </w:t>
      </w:r>
      <w:r w:rsidR="00C26945">
        <w:rPr>
          <w:lang w:val="en-US"/>
        </w:rPr>
        <w:t>due to</w:t>
      </w:r>
      <w:r w:rsidR="00F0244C">
        <w:rPr>
          <w:lang w:val="en-US"/>
        </w:rPr>
        <w:t>:</w:t>
      </w:r>
    </w:p>
    <w:p w14:paraId="717E5A8B" w14:textId="398DF279" w:rsidR="00F0244C" w:rsidRDefault="00F0244C" w:rsidP="00F02042">
      <w:pPr>
        <w:pStyle w:val="SingleTxtG"/>
        <w:rPr>
          <w:b/>
          <w:lang w:val="en-US"/>
        </w:rPr>
      </w:pPr>
      <w:r>
        <w:rPr>
          <w:lang w:val="en-US"/>
        </w:rPr>
        <w:tab/>
        <w:t>(a)</w:t>
      </w:r>
      <w:r>
        <w:rPr>
          <w:lang w:val="en-US"/>
        </w:rPr>
        <w:tab/>
      </w:r>
      <w:r w:rsidR="00245A7E">
        <w:rPr>
          <w:lang w:val="en-US"/>
        </w:rPr>
        <w:t>J</w:t>
      </w:r>
      <w:r w:rsidR="00C26945">
        <w:rPr>
          <w:lang w:val="en-US"/>
        </w:rPr>
        <w:t xml:space="preserve">udicial </w:t>
      </w:r>
      <w:r w:rsidR="00F95B5A">
        <w:rPr>
          <w:lang w:val="en-US"/>
        </w:rPr>
        <w:t xml:space="preserve">and legal aid </w:t>
      </w:r>
      <w:r>
        <w:rPr>
          <w:lang w:val="en-US"/>
        </w:rPr>
        <w:t>services</w:t>
      </w:r>
      <w:r w:rsidR="00C26945">
        <w:rPr>
          <w:lang w:val="en-US"/>
        </w:rPr>
        <w:t xml:space="preserve"> </w:t>
      </w:r>
      <w:r w:rsidR="00245A7E">
        <w:rPr>
          <w:lang w:val="en-US"/>
        </w:rPr>
        <w:t xml:space="preserve">being concentrated </w:t>
      </w:r>
      <w:r w:rsidR="00C26945">
        <w:rPr>
          <w:lang w:val="en-US"/>
        </w:rPr>
        <w:t>in the capital</w:t>
      </w:r>
      <w:r>
        <w:rPr>
          <w:lang w:val="en-US"/>
        </w:rPr>
        <w:t>;</w:t>
      </w:r>
    </w:p>
    <w:p w14:paraId="176482F4" w14:textId="159BD41E" w:rsidR="00F0244C" w:rsidRDefault="00F0244C" w:rsidP="00F02042">
      <w:pPr>
        <w:pStyle w:val="SingleTxtG"/>
        <w:rPr>
          <w:b/>
          <w:lang w:val="en-US"/>
        </w:rPr>
      </w:pPr>
      <w:r>
        <w:rPr>
          <w:lang w:val="en-US"/>
        </w:rPr>
        <w:tab/>
        <w:t>(b)</w:t>
      </w:r>
      <w:r>
        <w:rPr>
          <w:lang w:val="en-US"/>
        </w:rPr>
        <w:tab/>
      </w:r>
      <w:r w:rsidR="002B0833">
        <w:rPr>
          <w:lang w:val="en-US"/>
        </w:rPr>
        <w:t xml:space="preserve">Women’s low </w:t>
      </w:r>
      <w:r>
        <w:rPr>
          <w:lang w:val="en-US"/>
        </w:rPr>
        <w:t xml:space="preserve">awareness of </w:t>
      </w:r>
      <w:r w:rsidR="002B0833">
        <w:rPr>
          <w:lang w:val="en-US"/>
        </w:rPr>
        <w:t>their</w:t>
      </w:r>
      <w:r w:rsidR="00EE6E3F" w:rsidRPr="00534975">
        <w:rPr>
          <w:lang w:val="en-US"/>
        </w:rPr>
        <w:t xml:space="preserve"> </w:t>
      </w:r>
      <w:r>
        <w:rPr>
          <w:lang w:val="en-US"/>
        </w:rPr>
        <w:t>rights and how to claim them, given the high poverty and il</w:t>
      </w:r>
      <w:r w:rsidR="00C26945">
        <w:rPr>
          <w:lang w:val="en-US"/>
        </w:rPr>
        <w:t xml:space="preserve">literacy rates </w:t>
      </w:r>
      <w:r>
        <w:rPr>
          <w:lang w:val="en-US"/>
        </w:rPr>
        <w:t>of women in the State party;</w:t>
      </w:r>
      <w:r w:rsidR="002B0833">
        <w:rPr>
          <w:lang w:val="en-US"/>
        </w:rPr>
        <w:t xml:space="preserve"> </w:t>
      </w:r>
    </w:p>
    <w:p w14:paraId="0600993F" w14:textId="132D0C25" w:rsidR="00F0244C" w:rsidRDefault="00F0244C" w:rsidP="00F02042">
      <w:pPr>
        <w:pStyle w:val="SingleTxtG"/>
        <w:rPr>
          <w:lang w:val="en-US"/>
        </w:rPr>
      </w:pPr>
      <w:r>
        <w:rPr>
          <w:lang w:val="en-US"/>
        </w:rPr>
        <w:tab/>
        <w:t>(c)</w:t>
      </w:r>
      <w:r>
        <w:rPr>
          <w:lang w:val="en-US"/>
        </w:rPr>
        <w:tab/>
      </w:r>
      <w:r w:rsidR="00F95B5A">
        <w:rPr>
          <w:lang w:val="en-US"/>
        </w:rPr>
        <w:t>The unavailability of l</w:t>
      </w:r>
      <w:r>
        <w:rPr>
          <w:lang w:val="en-US"/>
        </w:rPr>
        <w:t>egal assistance</w:t>
      </w:r>
      <w:r w:rsidR="00245A7E">
        <w:rPr>
          <w:lang w:val="en-US"/>
        </w:rPr>
        <w:t xml:space="preserve"> </w:t>
      </w:r>
      <w:r>
        <w:rPr>
          <w:lang w:val="en-US"/>
        </w:rPr>
        <w:t xml:space="preserve">for women in </w:t>
      </w:r>
      <w:r w:rsidR="002113C0">
        <w:rPr>
          <w:lang w:val="en-US"/>
        </w:rPr>
        <w:t>customary law</w:t>
      </w:r>
      <w:r>
        <w:rPr>
          <w:lang w:val="en-US"/>
        </w:rPr>
        <w:t xml:space="preserve"> courts, </w:t>
      </w:r>
      <w:r w:rsidR="00716F03">
        <w:rPr>
          <w:lang w:val="en-US"/>
        </w:rPr>
        <w:t>where</w:t>
      </w:r>
      <w:r>
        <w:rPr>
          <w:lang w:val="en-US"/>
        </w:rPr>
        <w:t xml:space="preserve"> the majority of personal and family matters</w:t>
      </w:r>
      <w:r w:rsidR="00716F03">
        <w:rPr>
          <w:lang w:val="en-US"/>
        </w:rPr>
        <w:t xml:space="preserve"> are decided</w:t>
      </w:r>
      <w:r w:rsidR="002B0833">
        <w:rPr>
          <w:lang w:val="en-US"/>
        </w:rPr>
        <w:t>; and,</w:t>
      </w:r>
    </w:p>
    <w:p w14:paraId="074774DA" w14:textId="6E4F8C39" w:rsidR="002B0833" w:rsidRPr="00F0244C" w:rsidRDefault="00F02042" w:rsidP="00F02042">
      <w:pPr>
        <w:pStyle w:val="SingleTxtG"/>
        <w:rPr>
          <w:lang w:val="en-US"/>
        </w:rPr>
      </w:pPr>
      <w:r>
        <w:rPr>
          <w:lang w:val="en-US"/>
        </w:rPr>
        <w:tab/>
      </w:r>
      <w:r w:rsidR="002B0833">
        <w:rPr>
          <w:lang w:val="en-US"/>
        </w:rPr>
        <w:t>(d)</w:t>
      </w:r>
      <w:r w:rsidR="002B0833">
        <w:rPr>
          <w:lang w:val="en-US"/>
        </w:rPr>
        <w:tab/>
      </w:r>
      <w:r w:rsidR="00245A7E">
        <w:rPr>
          <w:lang w:val="en-US"/>
        </w:rPr>
        <w:t xml:space="preserve">The lack of knowledge and sensitivity regarding women’s rights on the part of State and customary law </w:t>
      </w:r>
      <w:r w:rsidR="00F95B5A">
        <w:rPr>
          <w:lang w:val="en-US"/>
        </w:rPr>
        <w:t>judges</w:t>
      </w:r>
      <w:r w:rsidR="00245A7E">
        <w:rPr>
          <w:lang w:val="en-US"/>
        </w:rPr>
        <w:t xml:space="preserve"> and law enforcement officials.</w:t>
      </w:r>
    </w:p>
    <w:p w14:paraId="3BA9E2C4" w14:textId="6A748ADB" w:rsidR="00AC5790" w:rsidRPr="00F02042" w:rsidRDefault="008A11B8" w:rsidP="00F02042">
      <w:pPr>
        <w:pStyle w:val="SingleTxtG"/>
        <w:rPr>
          <w:b/>
          <w:lang w:val="en-US"/>
        </w:rPr>
      </w:pPr>
      <w:r>
        <w:rPr>
          <w:lang w:val="en-US"/>
        </w:rPr>
        <w:t>15</w:t>
      </w:r>
      <w:r w:rsidR="00EE6E3F" w:rsidRPr="00CE6546">
        <w:rPr>
          <w:lang w:val="en-US"/>
        </w:rPr>
        <w:t>.</w:t>
      </w:r>
      <w:r w:rsidR="00EE6E3F" w:rsidRPr="00CE6546">
        <w:rPr>
          <w:lang w:val="en-US"/>
        </w:rPr>
        <w:tab/>
      </w:r>
      <w:r w:rsidR="002B65D9" w:rsidRPr="00F02042">
        <w:rPr>
          <w:b/>
          <w:lang w:val="en-US"/>
        </w:rPr>
        <w:t>With reference to</w:t>
      </w:r>
      <w:r w:rsidR="00EE6E3F" w:rsidRPr="00F02042">
        <w:rPr>
          <w:b/>
          <w:lang w:val="en-US"/>
        </w:rPr>
        <w:t xml:space="preserve"> its general recommendation No. 33 (2015) on women’s access to justice</w:t>
      </w:r>
      <w:r w:rsidR="002B65D9" w:rsidRPr="00F02042">
        <w:rPr>
          <w:b/>
          <w:lang w:val="en-US"/>
        </w:rPr>
        <w:t xml:space="preserve">, the Committee recalls the State party’s obligation to ensure that women’s rights are protected against violations by all components of plural justice systems. </w:t>
      </w:r>
      <w:r w:rsidR="00F95B5A" w:rsidRPr="00F02042">
        <w:rPr>
          <w:b/>
          <w:lang w:val="en-US"/>
        </w:rPr>
        <w:t>I</w:t>
      </w:r>
      <w:r w:rsidR="002B65D9" w:rsidRPr="00F02042">
        <w:rPr>
          <w:b/>
          <w:lang w:val="en-US"/>
        </w:rPr>
        <w:t xml:space="preserve">n light of </w:t>
      </w:r>
      <w:r w:rsidR="00EE6E3F" w:rsidRPr="00F02042">
        <w:rPr>
          <w:b/>
          <w:lang w:val="en-US"/>
        </w:rPr>
        <w:t xml:space="preserve">its previous recommendation (see CEDAW/C/NER/CO/2, para. 14), </w:t>
      </w:r>
      <w:r w:rsidR="002B65D9" w:rsidRPr="00F02042">
        <w:rPr>
          <w:b/>
          <w:lang w:val="en-US"/>
        </w:rPr>
        <w:t xml:space="preserve">it </w:t>
      </w:r>
      <w:r w:rsidR="00EE6E3F" w:rsidRPr="00F02042">
        <w:rPr>
          <w:b/>
          <w:lang w:val="en-US"/>
        </w:rPr>
        <w:t>recommends that the State party</w:t>
      </w:r>
      <w:r w:rsidR="00624D0D" w:rsidRPr="00F02042">
        <w:rPr>
          <w:b/>
          <w:lang w:val="en-US"/>
        </w:rPr>
        <w:t>:</w:t>
      </w:r>
    </w:p>
    <w:p w14:paraId="7F6D5AE8" w14:textId="6FE543AA" w:rsidR="008A11B8" w:rsidRPr="00F02042" w:rsidRDefault="00624D0D" w:rsidP="00F02042">
      <w:pPr>
        <w:pStyle w:val="SingleTxtG"/>
        <w:rPr>
          <w:b/>
          <w:lang w:val="en-US"/>
        </w:rPr>
      </w:pPr>
      <w:r w:rsidRPr="00F02042">
        <w:rPr>
          <w:b/>
          <w:lang w:val="en-US"/>
        </w:rPr>
        <w:tab/>
      </w:r>
      <w:r w:rsidR="008A11B8" w:rsidRPr="00F02042">
        <w:rPr>
          <w:b/>
          <w:lang w:val="en-US"/>
        </w:rPr>
        <w:t>(a)</w:t>
      </w:r>
      <w:r w:rsidR="008A11B8" w:rsidRPr="00F02042">
        <w:rPr>
          <w:b/>
          <w:lang w:val="en-US"/>
        </w:rPr>
        <w:tab/>
        <w:t xml:space="preserve">Strengthen the State </w:t>
      </w:r>
      <w:r w:rsidR="00F95B5A" w:rsidRPr="00F02042">
        <w:rPr>
          <w:b/>
          <w:lang w:val="en-US"/>
        </w:rPr>
        <w:t>justice</w:t>
      </w:r>
      <w:r w:rsidR="008A11B8" w:rsidRPr="00F02042">
        <w:rPr>
          <w:b/>
          <w:lang w:val="en-US"/>
        </w:rPr>
        <w:t xml:space="preserve"> system, </w:t>
      </w:r>
      <w:r w:rsidR="003E5BA6" w:rsidRPr="00F02042">
        <w:rPr>
          <w:b/>
          <w:lang w:val="en-US"/>
        </w:rPr>
        <w:t>including by increasing human, technical and financial resources, and increase</w:t>
      </w:r>
      <w:r w:rsidR="008A11B8" w:rsidRPr="00F02042">
        <w:rPr>
          <w:b/>
          <w:lang w:val="en-US"/>
        </w:rPr>
        <w:t xml:space="preserve"> the number and reach of judicial services and assistance in both State and customary justice systems, to ensure that women have effective access to justice throughout the territory of the State party; </w:t>
      </w:r>
    </w:p>
    <w:p w14:paraId="21457117" w14:textId="4638DA88" w:rsidR="008A11B8" w:rsidRPr="00F02042" w:rsidRDefault="008A11B8" w:rsidP="00F02042">
      <w:pPr>
        <w:pStyle w:val="SingleTxtG"/>
        <w:rPr>
          <w:b/>
          <w:lang w:val="en-US"/>
        </w:rPr>
      </w:pPr>
      <w:r w:rsidRPr="00F02042">
        <w:rPr>
          <w:b/>
          <w:lang w:val="en-US"/>
        </w:rPr>
        <w:tab/>
        <w:t>(b)</w:t>
      </w:r>
      <w:r w:rsidRPr="00F02042">
        <w:rPr>
          <w:b/>
          <w:lang w:val="en-US"/>
        </w:rPr>
        <w:tab/>
        <w:t xml:space="preserve">Enhance women’s awareness of their rights and the means to claim them, including by strengthening cooperation with civil society organizations; </w:t>
      </w:r>
      <w:r w:rsidR="00FB11B4" w:rsidRPr="00F02042">
        <w:rPr>
          <w:b/>
          <w:lang w:val="en-US"/>
        </w:rPr>
        <w:t>and,</w:t>
      </w:r>
    </w:p>
    <w:p w14:paraId="0C9137FB" w14:textId="141CD783" w:rsidR="00EE6E3F" w:rsidRPr="00F02042" w:rsidRDefault="008A11B8" w:rsidP="00F02042">
      <w:pPr>
        <w:pStyle w:val="SingleTxtG"/>
        <w:rPr>
          <w:b/>
          <w:lang w:val="en-US"/>
        </w:rPr>
      </w:pPr>
      <w:r w:rsidRPr="00F02042">
        <w:rPr>
          <w:b/>
          <w:lang w:val="en-US"/>
        </w:rPr>
        <w:tab/>
      </w:r>
      <w:r w:rsidR="002113C0" w:rsidRPr="00F02042">
        <w:rPr>
          <w:b/>
          <w:lang w:val="en-US"/>
        </w:rPr>
        <w:t>(</w:t>
      </w:r>
      <w:r w:rsidRPr="00F02042">
        <w:rPr>
          <w:b/>
          <w:lang w:val="en-US"/>
        </w:rPr>
        <w:t>c</w:t>
      </w:r>
      <w:r w:rsidR="002113C0" w:rsidRPr="00F02042">
        <w:rPr>
          <w:b/>
          <w:lang w:val="en-US"/>
        </w:rPr>
        <w:t>)</w:t>
      </w:r>
      <w:r w:rsidR="002113C0" w:rsidRPr="00F02042">
        <w:rPr>
          <w:b/>
          <w:lang w:val="en-US"/>
        </w:rPr>
        <w:tab/>
        <w:t xml:space="preserve">Provide capacity-building on the Convention and women’s rights for both State and customary </w:t>
      </w:r>
      <w:r w:rsidR="003E5BA6" w:rsidRPr="00F02042">
        <w:rPr>
          <w:b/>
          <w:lang w:val="en-US"/>
        </w:rPr>
        <w:t>law judges and lawyers</w:t>
      </w:r>
      <w:r w:rsidR="002113C0" w:rsidRPr="00F02042">
        <w:rPr>
          <w:b/>
          <w:lang w:val="en-US"/>
        </w:rPr>
        <w:t xml:space="preserve">, to ensure that </w:t>
      </w:r>
      <w:r w:rsidR="00245A7E" w:rsidRPr="00F02042">
        <w:rPr>
          <w:b/>
          <w:lang w:val="en-US"/>
        </w:rPr>
        <w:t>State</w:t>
      </w:r>
      <w:r w:rsidR="002113C0" w:rsidRPr="00F02042">
        <w:rPr>
          <w:b/>
          <w:lang w:val="en-US"/>
        </w:rPr>
        <w:t xml:space="preserve"> and </w:t>
      </w:r>
      <w:r w:rsidR="00245A7E" w:rsidRPr="00F02042">
        <w:rPr>
          <w:b/>
          <w:lang w:val="en-US"/>
        </w:rPr>
        <w:t>customary</w:t>
      </w:r>
      <w:r w:rsidR="002113C0" w:rsidRPr="00F02042">
        <w:rPr>
          <w:b/>
          <w:lang w:val="en-US"/>
        </w:rPr>
        <w:t xml:space="preserve"> justice systems harmonize their practices with the Convention and to raise awareness and eliminate stereotyping and stigmatization faced</w:t>
      </w:r>
      <w:r w:rsidR="00FB11B4" w:rsidRPr="00F02042">
        <w:rPr>
          <w:b/>
          <w:lang w:val="en-US"/>
        </w:rPr>
        <w:t xml:space="preserve"> by women claiming their rights.</w:t>
      </w:r>
    </w:p>
    <w:p w14:paraId="3A1D4751" w14:textId="77777777" w:rsidR="00EE6E3F" w:rsidRPr="00FE7E58" w:rsidRDefault="00EE6E3F" w:rsidP="00EE6E3F">
      <w:pPr>
        <w:pStyle w:val="H23G"/>
        <w:ind w:firstLine="0"/>
        <w:jc w:val="both"/>
        <w:rPr>
          <w:lang w:val="en-US"/>
        </w:rPr>
      </w:pPr>
      <w:r w:rsidRPr="00FE7E58">
        <w:rPr>
          <w:lang w:val="en-US"/>
        </w:rPr>
        <w:t>National machinery for the advancement of women</w:t>
      </w:r>
    </w:p>
    <w:p w14:paraId="1045B93A" w14:textId="129DB340" w:rsidR="00EE6E3F" w:rsidRPr="00FE7E58" w:rsidRDefault="008A11B8" w:rsidP="00F02042">
      <w:pPr>
        <w:pStyle w:val="SingleTxtG"/>
        <w:rPr>
          <w:b/>
          <w:lang w:val="en-US"/>
        </w:rPr>
      </w:pPr>
      <w:r>
        <w:rPr>
          <w:lang w:val="en-US"/>
        </w:rPr>
        <w:t>16</w:t>
      </w:r>
      <w:r w:rsidR="00EE6E3F" w:rsidRPr="00FE7E58">
        <w:rPr>
          <w:lang w:val="en-US"/>
        </w:rPr>
        <w:t>.</w:t>
      </w:r>
      <w:r w:rsidR="00EE6E3F" w:rsidRPr="00FE7E58">
        <w:rPr>
          <w:lang w:val="en-US"/>
        </w:rPr>
        <w:tab/>
        <w:t xml:space="preserve">The Committee welcomes </w:t>
      </w:r>
      <w:r w:rsidR="009761A6">
        <w:rPr>
          <w:lang w:val="en-US"/>
        </w:rPr>
        <w:t xml:space="preserve">the </w:t>
      </w:r>
      <w:r w:rsidR="00EE6E3F" w:rsidRPr="00FE7E58">
        <w:rPr>
          <w:lang w:val="en-US"/>
        </w:rPr>
        <w:t xml:space="preserve">establishment of </w:t>
      </w:r>
      <w:r w:rsidR="00EE6E3F">
        <w:rPr>
          <w:lang w:val="en-US"/>
        </w:rPr>
        <w:t xml:space="preserve">a </w:t>
      </w:r>
      <w:r w:rsidR="00EE6E3F" w:rsidRPr="00DA08EB">
        <w:rPr>
          <w:lang w:val="en-US"/>
        </w:rPr>
        <w:t>National Observatory for the Advancement of Gender Equality</w:t>
      </w:r>
      <w:r w:rsidR="006B0241">
        <w:rPr>
          <w:lang w:val="en-US"/>
        </w:rPr>
        <w:t xml:space="preserve">, </w:t>
      </w:r>
      <w:r w:rsidR="00F30CA5">
        <w:rPr>
          <w:lang w:val="en-US"/>
        </w:rPr>
        <w:t xml:space="preserve">the placement of gender focal points </w:t>
      </w:r>
      <w:r w:rsidR="003E5BA6">
        <w:rPr>
          <w:lang w:val="en-US"/>
        </w:rPr>
        <w:t>in</w:t>
      </w:r>
      <w:r w:rsidR="00F30CA5">
        <w:rPr>
          <w:lang w:val="en-US"/>
        </w:rPr>
        <w:t xml:space="preserve"> all Ministries and the creation of a Gender Parliamentary Network.</w:t>
      </w:r>
      <w:r w:rsidR="00F02042">
        <w:rPr>
          <w:b/>
          <w:lang w:val="en-US"/>
        </w:rPr>
        <w:t xml:space="preserve"> </w:t>
      </w:r>
      <w:r w:rsidR="00F30CA5">
        <w:rPr>
          <w:lang w:val="en-US"/>
        </w:rPr>
        <w:t xml:space="preserve">However, </w:t>
      </w:r>
      <w:r w:rsidR="003E5BA6">
        <w:rPr>
          <w:lang w:val="en-US"/>
        </w:rPr>
        <w:t>it</w:t>
      </w:r>
      <w:r w:rsidR="00EE6E3F">
        <w:rPr>
          <w:lang w:val="en-US"/>
        </w:rPr>
        <w:t xml:space="preserve"> is concerned </w:t>
      </w:r>
      <w:r w:rsidR="00F30CA5">
        <w:rPr>
          <w:lang w:val="en-US"/>
        </w:rPr>
        <w:t>about the limited</w:t>
      </w:r>
      <w:r w:rsidR="00EE6E3F">
        <w:rPr>
          <w:lang w:val="en-US"/>
        </w:rPr>
        <w:t xml:space="preserve"> financial and human </w:t>
      </w:r>
      <w:r w:rsidR="00F30CA5">
        <w:rPr>
          <w:lang w:val="en-US"/>
        </w:rPr>
        <w:t xml:space="preserve">resources, as well as </w:t>
      </w:r>
      <w:r w:rsidR="003E5BA6">
        <w:rPr>
          <w:lang w:val="en-US"/>
        </w:rPr>
        <w:t xml:space="preserve">the </w:t>
      </w:r>
      <w:r w:rsidR="00C459BF">
        <w:rPr>
          <w:lang w:val="en-US"/>
        </w:rPr>
        <w:t>scarce</w:t>
      </w:r>
      <w:r w:rsidR="00F30CA5">
        <w:rPr>
          <w:lang w:val="en-US"/>
        </w:rPr>
        <w:t xml:space="preserve"> presence of </w:t>
      </w:r>
      <w:r w:rsidR="00D1689F">
        <w:rPr>
          <w:lang w:val="en-US"/>
        </w:rPr>
        <w:t xml:space="preserve">similar </w:t>
      </w:r>
      <w:r w:rsidR="00F30CA5">
        <w:rPr>
          <w:lang w:val="en-US"/>
        </w:rPr>
        <w:t xml:space="preserve">mechanisms at </w:t>
      </w:r>
      <w:r w:rsidR="00C459BF">
        <w:rPr>
          <w:lang w:val="en-US"/>
        </w:rPr>
        <w:t xml:space="preserve">the </w:t>
      </w:r>
      <w:r w:rsidR="00F30CA5">
        <w:rPr>
          <w:lang w:val="en-US"/>
        </w:rPr>
        <w:t>local level, and the difficulties faced in</w:t>
      </w:r>
      <w:r w:rsidR="001179AD">
        <w:rPr>
          <w:lang w:val="en-US"/>
        </w:rPr>
        <w:t xml:space="preserve"> ensuring effective</w:t>
      </w:r>
      <w:r w:rsidR="00F30CA5">
        <w:rPr>
          <w:lang w:val="en-US"/>
        </w:rPr>
        <w:t xml:space="preserve"> coordinati</w:t>
      </w:r>
      <w:r w:rsidR="001179AD">
        <w:rPr>
          <w:lang w:val="en-US"/>
        </w:rPr>
        <w:t>on between these entities</w:t>
      </w:r>
      <w:r w:rsidR="00F30CA5">
        <w:rPr>
          <w:lang w:val="en-US"/>
        </w:rPr>
        <w:t xml:space="preserve"> </w:t>
      </w:r>
      <w:r w:rsidR="00913968">
        <w:rPr>
          <w:lang w:val="en-US"/>
        </w:rPr>
        <w:t>and the</w:t>
      </w:r>
      <w:r w:rsidR="00913968" w:rsidRPr="00913968">
        <w:rPr>
          <w:lang w:val="en-US"/>
        </w:rPr>
        <w:t xml:space="preserve"> Ministry for the Advancement of Women and Protection of Children </w:t>
      </w:r>
      <w:r w:rsidR="00F30CA5">
        <w:rPr>
          <w:lang w:val="en-US"/>
        </w:rPr>
        <w:t>to achieve gender mainstreaming throughout national and local government bodies</w:t>
      </w:r>
      <w:r w:rsidR="00EE6E3F">
        <w:rPr>
          <w:lang w:val="en-US"/>
        </w:rPr>
        <w:t>.</w:t>
      </w:r>
    </w:p>
    <w:p w14:paraId="5DDF9C51" w14:textId="77777777" w:rsidR="001179AD" w:rsidRPr="00F02042" w:rsidRDefault="00EE6E3F" w:rsidP="00F02042">
      <w:pPr>
        <w:pStyle w:val="SingleTxtG"/>
        <w:rPr>
          <w:b/>
          <w:lang w:val="en-US"/>
        </w:rPr>
      </w:pPr>
      <w:r w:rsidRPr="00F02042">
        <w:rPr>
          <w:lang w:val="en-US"/>
        </w:rPr>
        <w:t>1</w:t>
      </w:r>
      <w:r w:rsidR="008B3602" w:rsidRPr="00F02042">
        <w:rPr>
          <w:lang w:val="en-US"/>
        </w:rPr>
        <w:t>7</w:t>
      </w:r>
      <w:r w:rsidRPr="00F02042">
        <w:rPr>
          <w:lang w:val="en-US"/>
        </w:rPr>
        <w:t>.</w:t>
      </w:r>
      <w:r w:rsidRPr="00F02042">
        <w:rPr>
          <w:lang w:val="en-US"/>
        </w:rPr>
        <w:tab/>
      </w:r>
      <w:r w:rsidRPr="00F02042">
        <w:rPr>
          <w:b/>
          <w:lang w:val="en-US"/>
        </w:rPr>
        <w:t>The Committee, recalling its general recommendation No. 6 (1988) on effective national machinery and publicity, and the guidance provided in the Beijing Platform for Action, in particular regarding the conditions necessary for the effective functioning of national machineries, recommends that the State party</w:t>
      </w:r>
      <w:r w:rsidR="001179AD" w:rsidRPr="00F02042">
        <w:rPr>
          <w:b/>
          <w:lang w:val="en-US"/>
        </w:rPr>
        <w:t>:</w:t>
      </w:r>
    </w:p>
    <w:p w14:paraId="667CBCBE" w14:textId="3CD267DE" w:rsidR="001179AD" w:rsidRPr="00F02042" w:rsidRDefault="001179AD" w:rsidP="00F02042">
      <w:pPr>
        <w:pStyle w:val="SingleTxtG"/>
        <w:rPr>
          <w:b/>
          <w:lang w:val="en-US"/>
        </w:rPr>
      </w:pPr>
      <w:r w:rsidRPr="00F02042">
        <w:rPr>
          <w:b/>
          <w:lang w:val="en-US"/>
        </w:rPr>
        <w:tab/>
        <w:t>(a)</w:t>
      </w:r>
      <w:r w:rsidRPr="00F02042">
        <w:rPr>
          <w:b/>
          <w:lang w:val="en-US"/>
        </w:rPr>
        <w:tab/>
        <w:t>A</w:t>
      </w:r>
      <w:r w:rsidR="00EE6E3F" w:rsidRPr="00F02042">
        <w:rPr>
          <w:b/>
          <w:lang w:val="en-US"/>
        </w:rPr>
        <w:t xml:space="preserve">llocate the human, technical and financial resources </w:t>
      </w:r>
      <w:r w:rsidRPr="00F02042">
        <w:rPr>
          <w:b/>
          <w:lang w:val="en-US"/>
        </w:rPr>
        <w:t xml:space="preserve">necessary </w:t>
      </w:r>
      <w:r w:rsidR="00EE6E3F" w:rsidRPr="00F02042">
        <w:rPr>
          <w:b/>
          <w:lang w:val="en-US"/>
        </w:rPr>
        <w:t xml:space="preserve">to the Ministry </w:t>
      </w:r>
      <w:r w:rsidR="00F30CA5" w:rsidRPr="00F02042">
        <w:rPr>
          <w:b/>
          <w:lang w:val="en-US"/>
        </w:rPr>
        <w:t>for</w:t>
      </w:r>
      <w:r w:rsidR="00EE6E3F" w:rsidRPr="00F02042">
        <w:rPr>
          <w:b/>
          <w:lang w:val="en-US"/>
        </w:rPr>
        <w:t xml:space="preserve"> the Advancement of Women and Protection of Children, the </w:t>
      </w:r>
      <w:r w:rsidR="00F30CA5" w:rsidRPr="00F02042">
        <w:rPr>
          <w:b/>
          <w:lang w:val="en-US"/>
        </w:rPr>
        <w:t>Gender Observatory</w:t>
      </w:r>
      <w:r w:rsidR="00EE6E3F" w:rsidRPr="00F02042">
        <w:rPr>
          <w:b/>
          <w:lang w:val="en-US"/>
        </w:rPr>
        <w:t xml:space="preserve"> and the </w:t>
      </w:r>
      <w:r w:rsidRPr="00F02042">
        <w:rPr>
          <w:b/>
          <w:lang w:val="en-US"/>
        </w:rPr>
        <w:t>Ministerial gender focal points</w:t>
      </w:r>
      <w:r w:rsidR="00D1689F">
        <w:rPr>
          <w:b/>
          <w:lang w:val="en-US"/>
        </w:rPr>
        <w:t>, as well as similar mechanisms at the local level,</w:t>
      </w:r>
      <w:r w:rsidR="00EE6E3F" w:rsidRPr="00F02042">
        <w:rPr>
          <w:b/>
          <w:lang w:val="en-US"/>
        </w:rPr>
        <w:t xml:space="preserve"> to reinforce their mandates to coordinate, monitor and assess the impact of the implementation of public policies and national action pla</w:t>
      </w:r>
      <w:r w:rsidRPr="00F02042">
        <w:rPr>
          <w:b/>
          <w:lang w:val="en-US"/>
        </w:rPr>
        <w:t>ns for the advancement of women;</w:t>
      </w:r>
      <w:r w:rsidR="000042E6" w:rsidRPr="00F02042">
        <w:rPr>
          <w:b/>
          <w:lang w:val="en-US"/>
        </w:rPr>
        <w:t xml:space="preserve"> and,</w:t>
      </w:r>
    </w:p>
    <w:p w14:paraId="73EC32D6" w14:textId="1565DD64" w:rsidR="00EE6E3F" w:rsidRPr="00F02042" w:rsidRDefault="001179AD" w:rsidP="00F02042">
      <w:pPr>
        <w:pStyle w:val="SingleTxtG"/>
        <w:rPr>
          <w:b/>
          <w:lang w:val="en-US"/>
        </w:rPr>
      </w:pPr>
      <w:r w:rsidRPr="00F02042">
        <w:rPr>
          <w:b/>
          <w:lang w:val="en-US"/>
        </w:rPr>
        <w:tab/>
      </w:r>
      <w:r w:rsidR="000042E6" w:rsidRPr="00F02042">
        <w:rPr>
          <w:b/>
          <w:lang w:val="en-US"/>
        </w:rPr>
        <w:t>(b</w:t>
      </w:r>
      <w:r w:rsidRPr="00F02042">
        <w:rPr>
          <w:b/>
          <w:lang w:val="en-US"/>
        </w:rPr>
        <w:t>)</w:t>
      </w:r>
      <w:r w:rsidRPr="00F02042">
        <w:rPr>
          <w:b/>
          <w:lang w:val="en-US"/>
        </w:rPr>
        <w:tab/>
        <w:t xml:space="preserve">Undertake an impact assessment of the </w:t>
      </w:r>
      <w:r w:rsidR="00785144" w:rsidRPr="00F02042">
        <w:rPr>
          <w:b/>
          <w:lang w:val="en-US"/>
        </w:rPr>
        <w:t>National Gender Action Plan (2009-2018), upon its expiration, to evaluate progress made towards gender equality and develop</w:t>
      </w:r>
      <w:r w:rsidR="000042E6" w:rsidRPr="00F02042">
        <w:rPr>
          <w:b/>
          <w:lang w:val="en-US"/>
        </w:rPr>
        <w:t>, in consultation with women’s civil society organisations,</w:t>
      </w:r>
      <w:r w:rsidR="00785144" w:rsidRPr="00F02042">
        <w:rPr>
          <w:b/>
          <w:lang w:val="en-US"/>
        </w:rPr>
        <w:t xml:space="preserve"> a new s</w:t>
      </w:r>
      <w:r w:rsidR="001348FA" w:rsidRPr="00F02042">
        <w:rPr>
          <w:b/>
          <w:lang w:val="en-US"/>
        </w:rPr>
        <w:t>trategy</w:t>
      </w:r>
      <w:r w:rsidR="00785144" w:rsidRPr="00F02042">
        <w:rPr>
          <w:b/>
          <w:lang w:val="en-US"/>
        </w:rPr>
        <w:t xml:space="preserve"> that clearly defines the competencies of national and local authorities regarding its implementation and that is supported by a comprehensive data collection and monitoring system.</w:t>
      </w:r>
    </w:p>
    <w:p w14:paraId="47671EA6" w14:textId="77777777" w:rsidR="00EE6E3F" w:rsidRPr="00565E74" w:rsidRDefault="00785144" w:rsidP="00785144">
      <w:pPr>
        <w:pStyle w:val="H23G"/>
        <w:ind w:left="0" w:firstLine="0"/>
        <w:jc w:val="both"/>
        <w:rPr>
          <w:lang w:val="en-US"/>
        </w:rPr>
      </w:pPr>
      <w:r>
        <w:rPr>
          <w:lang w:val="en-US"/>
        </w:rPr>
        <w:tab/>
      </w:r>
      <w:r>
        <w:rPr>
          <w:lang w:val="en-US"/>
        </w:rPr>
        <w:tab/>
      </w:r>
      <w:r w:rsidR="00EE6E3F" w:rsidRPr="00565E74">
        <w:rPr>
          <w:lang w:val="en-US"/>
        </w:rPr>
        <w:t>Temporary special measures</w:t>
      </w:r>
    </w:p>
    <w:p w14:paraId="5A0F9727" w14:textId="18899C7A" w:rsidR="00F66599" w:rsidRDefault="008B3602" w:rsidP="00F02042">
      <w:pPr>
        <w:pStyle w:val="SingleTxtG"/>
        <w:rPr>
          <w:b/>
          <w:lang w:val="en-US"/>
        </w:rPr>
      </w:pPr>
      <w:r>
        <w:rPr>
          <w:lang w:val="en-US"/>
        </w:rPr>
        <w:t>18</w:t>
      </w:r>
      <w:r w:rsidR="00EE6E3F" w:rsidRPr="00E62254">
        <w:rPr>
          <w:lang w:val="en-US"/>
        </w:rPr>
        <w:t>.</w:t>
      </w:r>
      <w:r w:rsidR="00EE6E3F" w:rsidRPr="00E62254">
        <w:rPr>
          <w:lang w:val="en-US"/>
        </w:rPr>
        <w:tab/>
      </w:r>
      <w:r w:rsidR="00C459BF">
        <w:rPr>
          <w:lang w:val="en-US"/>
        </w:rPr>
        <w:t>It</w:t>
      </w:r>
      <w:r w:rsidR="00F66599" w:rsidRPr="00F66599">
        <w:rPr>
          <w:lang w:val="en-US"/>
        </w:rPr>
        <w:t xml:space="preserve"> is concerned that temporary special measures are not sufficiently applied as a necessary strategy to accelerate the achievement of substantive equality between women and men in other areas covered by the Convention, in parti</w:t>
      </w:r>
      <w:r w:rsidR="00EC1582">
        <w:rPr>
          <w:lang w:val="en-US"/>
        </w:rPr>
        <w:t xml:space="preserve">cular employment, </w:t>
      </w:r>
      <w:r w:rsidR="00F66599" w:rsidRPr="00F66599">
        <w:rPr>
          <w:lang w:val="en-US"/>
        </w:rPr>
        <w:t>education</w:t>
      </w:r>
      <w:r w:rsidR="00EC1582">
        <w:rPr>
          <w:lang w:val="en-US"/>
        </w:rPr>
        <w:t>, health and in relation to rural women</w:t>
      </w:r>
      <w:r w:rsidR="00F66599" w:rsidRPr="00F66599">
        <w:rPr>
          <w:lang w:val="en-US"/>
        </w:rPr>
        <w:t>.</w:t>
      </w:r>
    </w:p>
    <w:p w14:paraId="23268CA2" w14:textId="77777777" w:rsidR="00EC1582" w:rsidRPr="00F02042" w:rsidRDefault="008B3602" w:rsidP="00F02042">
      <w:pPr>
        <w:pStyle w:val="SingleTxtG"/>
        <w:rPr>
          <w:b/>
          <w:lang w:val="en-US"/>
        </w:rPr>
      </w:pPr>
      <w:r w:rsidRPr="00F02042">
        <w:rPr>
          <w:lang w:val="en-US"/>
        </w:rPr>
        <w:t>19</w:t>
      </w:r>
      <w:r w:rsidR="00EE6E3F" w:rsidRPr="00F02042">
        <w:rPr>
          <w:lang w:val="en-US"/>
        </w:rPr>
        <w:t>.</w:t>
      </w:r>
      <w:r w:rsidR="00EE6E3F" w:rsidRPr="00F02042">
        <w:rPr>
          <w:lang w:val="en-US"/>
        </w:rPr>
        <w:tab/>
      </w:r>
      <w:r w:rsidR="00EC1582" w:rsidRPr="00F02042">
        <w:rPr>
          <w:b/>
          <w:lang w:val="en-US"/>
        </w:rPr>
        <w:t>In line with article 4 (1) of the Convention and the Committee’s general recommendation No. 25 (2004) on temporary special measures, the Committee recommends that the State party:</w:t>
      </w:r>
    </w:p>
    <w:p w14:paraId="18EDF80C" w14:textId="29FAE8C0" w:rsidR="00EC1582" w:rsidRPr="00F02042" w:rsidRDefault="00EC1582" w:rsidP="003C3C13">
      <w:pPr>
        <w:pStyle w:val="SingleTxtG"/>
        <w:rPr>
          <w:b/>
          <w:lang w:val="en-US"/>
        </w:rPr>
      </w:pPr>
      <w:r w:rsidRPr="00F02042">
        <w:rPr>
          <w:b/>
          <w:lang w:val="en-US"/>
        </w:rPr>
        <w:tab/>
      </w:r>
      <w:r w:rsidRPr="00C03489">
        <w:rPr>
          <w:b/>
          <w:lang w:val="en-US"/>
        </w:rPr>
        <w:t>(a)</w:t>
      </w:r>
      <w:r w:rsidRPr="00C03489">
        <w:rPr>
          <w:b/>
          <w:lang w:val="en-US"/>
        </w:rPr>
        <w:tab/>
      </w:r>
      <w:r w:rsidRPr="00F02042">
        <w:rPr>
          <w:b/>
          <w:lang w:val="en-US"/>
        </w:rPr>
        <w:t>Raise awareness among parliamentarians, government officials, employers and the general public about the necessity of temporary special measures;</w:t>
      </w:r>
    </w:p>
    <w:p w14:paraId="7C51ABFD" w14:textId="4C5470B5" w:rsidR="00EC1582" w:rsidRPr="00F02042" w:rsidRDefault="00EC1582" w:rsidP="00F02042">
      <w:pPr>
        <w:pStyle w:val="SingleTxtG"/>
        <w:rPr>
          <w:b/>
          <w:lang w:val="en-US"/>
        </w:rPr>
      </w:pPr>
      <w:r w:rsidRPr="00F02042">
        <w:rPr>
          <w:b/>
          <w:lang w:val="en-US"/>
        </w:rPr>
        <w:tab/>
        <w:t>(b)</w:t>
      </w:r>
      <w:r w:rsidRPr="00F02042">
        <w:rPr>
          <w:b/>
          <w:lang w:val="en-US"/>
        </w:rPr>
        <w:tab/>
        <w:t xml:space="preserve">Set time-bound targets and allocate sufficient resources for the implementation of </w:t>
      </w:r>
      <w:r w:rsidR="00C459BF" w:rsidRPr="00F02042">
        <w:rPr>
          <w:b/>
          <w:lang w:val="en-US"/>
        </w:rPr>
        <w:t>temporary special measures</w:t>
      </w:r>
      <w:r w:rsidRPr="00F02042">
        <w:rPr>
          <w:b/>
          <w:lang w:val="en-US"/>
        </w:rPr>
        <w:t>, such as quotas and other proactive measures, accompanied by legal measures for non-compliance, aimed at achieving the substantive equality of women and men in all areas covered by the Convention in which women are underrepresented or disadvantaged;</w:t>
      </w:r>
      <w:r w:rsidR="0024614F" w:rsidRPr="00F02042">
        <w:rPr>
          <w:b/>
          <w:lang w:val="en-US"/>
        </w:rPr>
        <w:t xml:space="preserve"> and,</w:t>
      </w:r>
    </w:p>
    <w:p w14:paraId="643FFBA0" w14:textId="5E74B488" w:rsidR="00EC1582" w:rsidRPr="00F02042" w:rsidRDefault="00EC1582" w:rsidP="00F02042">
      <w:pPr>
        <w:pStyle w:val="SingleTxtG"/>
        <w:rPr>
          <w:b/>
          <w:lang w:val="en-US"/>
        </w:rPr>
      </w:pPr>
      <w:r w:rsidRPr="00F02042">
        <w:rPr>
          <w:b/>
          <w:lang w:val="en-US"/>
        </w:rPr>
        <w:tab/>
        <w:t>(c)</w:t>
      </w:r>
      <w:r w:rsidRPr="00F02042">
        <w:rPr>
          <w:b/>
          <w:lang w:val="en-US"/>
        </w:rPr>
        <w:tab/>
        <w:t>Take into account recent initiatives in other States in the region to develop and introduce temporary special measures.</w:t>
      </w:r>
    </w:p>
    <w:p w14:paraId="05A50691" w14:textId="2149732A" w:rsidR="00A23167" w:rsidRPr="002128F6" w:rsidRDefault="002128F6" w:rsidP="00A23167">
      <w:pPr>
        <w:pStyle w:val="H23G"/>
        <w:jc w:val="both"/>
        <w:rPr>
          <w:lang w:val="en-US"/>
        </w:rPr>
      </w:pPr>
      <w:r>
        <w:rPr>
          <w:lang w:val="en-US"/>
        </w:rPr>
        <w:tab/>
      </w:r>
      <w:r>
        <w:rPr>
          <w:lang w:val="en-US"/>
        </w:rPr>
        <w:tab/>
      </w:r>
      <w:r w:rsidR="00A23167">
        <w:rPr>
          <w:lang w:val="en-US"/>
        </w:rPr>
        <w:t>Stereotypes</w:t>
      </w:r>
      <w:r w:rsidR="00A23167" w:rsidRPr="002128F6">
        <w:rPr>
          <w:lang w:val="en-US"/>
        </w:rPr>
        <w:t xml:space="preserve"> and harmful practices</w:t>
      </w:r>
    </w:p>
    <w:p w14:paraId="26F98932" w14:textId="7244BF65" w:rsidR="006F74FD" w:rsidRPr="00A23167" w:rsidRDefault="008B3602" w:rsidP="00F02042">
      <w:pPr>
        <w:pStyle w:val="SingleTxtG"/>
        <w:rPr>
          <w:lang w:val="en-US"/>
        </w:rPr>
      </w:pPr>
      <w:r>
        <w:rPr>
          <w:lang w:val="en-US"/>
        </w:rPr>
        <w:t>20</w:t>
      </w:r>
      <w:r w:rsidR="00A23167" w:rsidRPr="002128F6">
        <w:rPr>
          <w:lang w:val="en-US"/>
        </w:rPr>
        <w:t>.</w:t>
      </w:r>
      <w:r w:rsidR="00A23167" w:rsidRPr="002128F6">
        <w:rPr>
          <w:lang w:val="en-US"/>
        </w:rPr>
        <w:tab/>
        <w:t xml:space="preserve">The Committee </w:t>
      </w:r>
      <w:r w:rsidR="00A23167">
        <w:rPr>
          <w:lang w:val="en-US"/>
        </w:rPr>
        <w:t xml:space="preserve">recognizes the diversity of cultures and traditions in the State party. It is, however, concerned </w:t>
      </w:r>
      <w:r w:rsidR="006F74FD">
        <w:rPr>
          <w:lang w:val="en-US"/>
        </w:rPr>
        <w:t>that i</w:t>
      </w:r>
      <w:r w:rsidR="006F74FD" w:rsidRPr="002128F6">
        <w:rPr>
          <w:lang w:val="en-US"/>
        </w:rPr>
        <w:t xml:space="preserve">nsufficient action has been taken by the State party to implement </w:t>
      </w:r>
      <w:r w:rsidR="00C459BF">
        <w:rPr>
          <w:lang w:val="en-US"/>
        </w:rPr>
        <w:t>the Committee’s</w:t>
      </w:r>
      <w:r w:rsidR="006F74FD" w:rsidRPr="002128F6">
        <w:rPr>
          <w:lang w:val="en-US"/>
        </w:rPr>
        <w:t xml:space="preserve"> previous recommendation (see CEDAW/C/NER/CO/2, para. 18) to develop a goal-bound national strategy</w:t>
      </w:r>
      <w:r w:rsidR="006F74FD" w:rsidRPr="00CB5E62">
        <w:rPr>
          <w:lang w:val="en-US"/>
        </w:rPr>
        <w:t xml:space="preserve"> to modify or eliminate </w:t>
      </w:r>
      <w:r w:rsidR="00DD5728">
        <w:rPr>
          <w:lang w:val="en-US"/>
        </w:rPr>
        <w:t>discriminatory</w:t>
      </w:r>
      <w:r w:rsidR="006F74FD" w:rsidRPr="00CB5E62">
        <w:rPr>
          <w:lang w:val="en-US"/>
        </w:rPr>
        <w:t xml:space="preserve"> stereotypes </w:t>
      </w:r>
      <w:r w:rsidR="00DD5728">
        <w:rPr>
          <w:lang w:val="en-US"/>
        </w:rPr>
        <w:t xml:space="preserve">and practices </w:t>
      </w:r>
      <w:r w:rsidR="006F74FD" w:rsidRPr="00CB5E62">
        <w:rPr>
          <w:lang w:val="en-US"/>
        </w:rPr>
        <w:t xml:space="preserve">that are harmful to and discriminate against women, as well as </w:t>
      </w:r>
      <w:r w:rsidR="006F74FD">
        <w:rPr>
          <w:lang w:val="en-US"/>
        </w:rPr>
        <w:t>to</w:t>
      </w:r>
      <w:r w:rsidR="006F74FD" w:rsidRPr="00CB5E62">
        <w:rPr>
          <w:lang w:val="en-US"/>
        </w:rPr>
        <w:t xml:space="preserve"> establish monitoring mechanisms to re</w:t>
      </w:r>
      <w:r w:rsidR="00C31BCA">
        <w:rPr>
          <w:lang w:val="en-US"/>
        </w:rPr>
        <w:t>gularly assess progress achieved.</w:t>
      </w:r>
      <w:r w:rsidR="006F74FD">
        <w:rPr>
          <w:lang w:val="en-US"/>
        </w:rPr>
        <w:t xml:space="preserve"> The Committee rema</w:t>
      </w:r>
      <w:r w:rsidR="00FA0266">
        <w:rPr>
          <w:lang w:val="en-US"/>
        </w:rPr>
        <w:t>ins concerned in particu</w:t>
      </w:r>
      <w:r w:rsidR="00160965">
        <w:rPr>
          <w:lang w:val="en-US"/>
        </w:rPr>
        <w:t>l</w:t>
      </w:r>
      <w:r w:rsidR="006F74FD">
        <w:rPr>
          <w:lang w:val="en-US"/>
        </w:rPr>
        <w:t>ar</w:t>
      </w:r>
      <w:r w:rsidR="00AB2127">
        <w:rPr>
          <w:lang w:val="en-US"/>
        </w:rPr>
        <w:t xml:space="preserve"> </w:t>
      </w:r>
      <w:r w:rsidR="00FA0266">
        <w:rPr>
          <w:lang w:val="en-US"/>
        </w:rPr>
        <w:t xml:space="preserve">that </w:t>
      </w:r>
      <w:r w:rsidR="00FA0266" w:rsidRPr="00FA0266">
        <w:rPr>
          <w:lang w:val="en-US"/>
        </w:rPr>
        <w:t xml:space="preserve">the practice of </w:t>
      </w:r>
      <w:r w:rsidR="00FA0266">
        <w:rPr>
          <w:lang w:val="en-US"/>
        </w:rPr>
        <w:t>“w</w:t>
      </w:r>
      <w:r w:rsidR="008D2AE1" w:rsidRPr="00FA0266">
        <w:rPr>
          <w:lang w:val="en-US"/>
        </w:rPr>
        <w:t xml:space="preserve">ahaya”, </w:t>
      </w:r>
      <w:r w:rsidR="00F6162C" w:rsidRPr="00FA0266">
        <w:rPr>
          <w:lang w:val="en-US"/>
        </w:rPr>
        <w:t>characterized</w:t>
      </w:r>
      <w:r w:rsidR="008D2AE1" w:rsidRPr="00FA0266">
        <w:rPr>
          <w:lang w:val="en-US"/>
        </w:rPr>
        <w:t xml:space="preserve"> as a form of slavery</w:t>
      </w:r>
      <w:r w:rsidR="00FA0266">
        <w:rPr>
          <w:lang w:val="en-US"/>
        </w:rPr>
        <w:t>, including sexual slavery, and</w:t>
      </w:r>
      <w:r w:rsidR="00FA0266" w:rsidRPr="00FA0266">
        <w:rPr>
          <w:lang w:val="en-US"/>
        </w:rPr>
        <w:t xml:space="preserve"> female genital mutilation</w:t>
      </w:r>
      <w:r w:rsidR="00FA0266">
        <w:rPr>
          <w:lang w:val="en-US"/>
        </w:rPr>
        <w:t xml:space="preserve"> persist</w:t>
      </w:r>
      <w:r w:rsidR="00D1689F">
        <w:rPr>
          <w:lang w:val="en-US"/>
        </w:rPr>
        <w:t>s</w:t>
      </w:r>
      <w:r w:rsidR="00FA0266">
        <w:rPr>
          <w:lang w:val="en-US"/>
        </w:rPr>
        <w:t xml:space="preserve"> in the State party. </w:t>
      </w:r>
      <w:r w:rsidR="00820286">
        <w:rPr>
          <w:lang w:val="en-US"/>
        </w:rPr>
        <w:t xml:space="preserve">It notes </w:t>
      </w:r>
      <w:r w:rsidR="00DD5728">
        <w:rPr>
          <w:lang w:val="en-US"/>
        </w:rPr>
        <w:t xml:space="preserve">with concern </w:t>
      </w:r>
      <w:r w:rsidR="00820286">
        <w:rPr>
          <w:lang w:val="en-US"/>
        </w:rPr>
        <w:t xml:space="preserve">the </w:t>
      </w:r>
      <w:r w:rsidR="00DD5728">
        <w:rPr>
          <w:lang w:val="en-US"/>
        </w:rPr>
        <w:t>low number</w:t>
      </w:r>
      <w:r w:rsidR="00820286">
        <w:rPr>
          <w:lang w:val="en-US"/>
        </w:rPr>
        <w:t xml:space="preserve"> of</w:t>
      </w:r>
      <w:r w:rsidR="00FA0266">
        <w:rPr>
          <w:lang w:val="en-US"/>
        </w:rPr>
        <w:t xml:space="preserve"> </w:t>
      </w:r>
      <w:r w:rsidR="00F6162C" w:rsidRPr="00FA0266">
        <w:rPr>
          <w:lang w:val="en-US"/>
        </w:rPr>
        <w:t xml:space="preserve">prosecutions under </w:t>
      </w:r>
      <w:r w:rsidR="00094C08" w:rsidRPr="00FA0266">
        <w:rPr>
          <w:lang w:val="en-US"/>
        </w:rPr>
        <w:t>the Penal Code provisions prohi</w:t>
      </w:r>
      <w:r w:rsidR="00FA0266">
        <w:rPr>
          <w:lang w:val="en-US"/>
        </w:rPr>
        <w:t>biting slavery (articles 270.1-</w:t>
      </w:r>
      <w:r w:rsidR="00094C08" w:rsidRPr="00FA0266">
        <w:rPr>
          <w:lang w:val="en-US"/>
        </w:rPr>
        <w:t>2</w:t>
      </w:r>
      <w:r w:rsidR="00FA0266">
        <w:rPr>
          <w:lang w:val="en-US"/>
        </w:rPr>
        <w:t>-</w:t>
      </w:r>
      <w:r w:rsidR="00094C08" w:rsidRPr="00FA0266">
        <w:rPr>
          <w:lang w:val="en-US"/>
        </w:rPr>
        <w:t>3)</w:t>
      </w:r>
      <w:r w:rsidR="00F6162C" w:rsidRPr="00FA0266">
        <w:rPr>
          <w:lang w:val="en-US"/>
        </w:rPr>
        <w:t xml:space="preserve"> </w:t>
      </w:r>
      <w:r w:rsidR="00094C08" w:rsidRPr="00FA0266">
        <w:rPr>
          <w:lang w:val="en-US"/>
        </w:rPr>
        <w:t xml:space="preserve">to incriminate </w:t>
      </w:r>
      <w:r w:rsidR="005F149F" w:rsidRPr="00FA0266">
        <w:rPr>
          <w:lang w:val="en-US"/>
        </w:rPr>
        <w:t>perpetrators of</w:t>
      </w:r>
      <w:r w:rsidR="00094C08" w:rsidRPr="00FA0266">
        <w:rPr>
          <w:lang w:val="en-US"/>
        </w:rPr>
        <w:t xml:space="preserve"> wahaya</w:t>
      </w:r>
      <w:r w:rsidR="00D86F23" w:rsidRPr="00FA0266">
        <w:rPr>
          <w:lang w:val="en-US"/>
        </w:rPr>
        <w:t xml:space="preserve"> </w:t>
      </w:r>
      <w:r w:rsidR="00160965">
        <w:rPr>
          <w:lang w:val="en-US"/>
        </w:rPr>
        <w:t xml:space="preserve">and the </w:t>
      </w:r>
      <w:r w:rsidR="00820286">
        <w:rPr>
          <w:lang w:val="en-US"/>
        </w:rPr>
        <w:t xml:space="preserve">low </w:t>
      </w:r>
      <w:r w:rsidR="00D86F23" w:rsidRPr="00FA0266">
        <w:rPr>
          <w:lang w:val="en-US"/>
        </w:rPr>
        <w:t>conviction rate</w:t>
      </w:r>
      <w:r w:rsidR="00DD5728">
        <w:rPr>
          <w:lang w:val="en-US"/>
        </w:rPr>
        <w:t>s</w:t>
      </w:r>
      <w:r w:rsidR="00D86F23" w:rsidRPr="00FA0266">
        <w:rPr>
          <w:lang w:val="en-US"/>
        </w:rPr>
        <w:t xml:space="preserve"> </w:t>
      </w:r>
      <w:r w:rsidR="00DD5728">
        <w:rPr>
          <w:lang w:val="en-US"/>
        </w:rPr>
        <w:t>for</w:t>
      </w:r>
      <w:r w:rsidR="00D86F23" w:rsidRPr="00FA0266">
        <w:rPr>
          <w:lang w:val="en-US"/>
        </w:rPr>
        <w:t xml:space="preserve"> </w:t>
      </w:r>
      <w:r w:rsidR="00D1689F" w:rsidRPr="00FA0266">
        <w:rPr>
          <w:lang w:val="en-US"/>
        </w:rPr>
        <w:t>female genital mutilation</w:t>
      </w:r>
      <w:r w:rsidR="00D86F23" w:rsidRPr="00FA0266">
        <w:rPr>
          <w:lang w:val="en-US"/>
        </w:rPr>
        <w:t>.</w:t>
      </w:r>
    </w:p>
    <w:p w14:paraId="4E11168F" w14:textId="1B7633AF" w:rsidR="00600AA5" w:rsidRPr="00F02042" w:rsidRDefault="008B3602" w:rsidP="00F02042">
      <w:pPr>
        <w:pStyle w:val="SingleTxtG"/>
        <w:rPr>
          <w:b/>
          <w:lang w:val="en-US"/>
        </w:rPr>
      </w:pPr>
      <w:r w:rsidRPr="00F02042">
        <w:rPr>
          <w:lang w:val="en-US"/>
        </w:rPr>
        <w:t>21</w:t>
      </w:r>
      <w:r w:rsidR="00D86F23" w:rsidRPr="00F02042">
        <w:rPr>
          <w:lang w:val="en-US"/>
        </w:rPr>
        <w:t>.</w:t>
      </w:r>
      <w:r w:rsidR="00D86F23" w:rsidRPr="00F02042">
        <w:rPr>
          <w:lang w:val="en-US"/>
        </w:rPr>
        <w:tab/>
      </w:r>
      <w:r w:rsidR="00D86F23" w:rsidRPr="00F02042">
        <w:rPr>
          <w:b/>
          <w:lang w:val="en-US"/>
        </w:rPr>
        <w:t>The Committee</w:t>
      </w:r>
      <w:r w:rsidR="00600AA5" w:rsidRPr="00F02042">
        <w:rPr>
          <w:b/>
          <w:lang w:val="en-US"/>
        </w:rPr>
        <w:t xml:space="preserve">, in line with Sustainable Development Goal 5.3 </w:t>
      </w:r>
      <w:r w:rsidR="00FC2B0D">
        <w:rPr>
          <w:b/>
          <w:lang w:val="en-US"/>
        </w:rPr>
        <w:t>calling for the</w:t>
      </w:r>
      <w:r w:rsidR="00600AA5" w:rsidRPr="00F02042">
        <w:rPr>
          <w:b/>
          <w:lang w:val="en-US"/>
        </w:rPr>
        <w:t xml:space="preserve"> </w:t>
      </w:r>
      <w:r w:rsidR="00FC2B0D" w:rsidRPr="00F02042">
        <w:rPr>
          <w:b/>
          <w:lang w:val="en-US"/>
        </w:rPr>
        <w:t>eliminat</w:t>
      </w:r>
      <w:r w:rsidR="00FC2B0D">
        <w:rPr>
          <w:b/>
          <w:lang w:val="en-US"/>
        </w:rPr>
        <w:t>ion of</w:t>
      </w:r>
      <w:r w:rsidR="00FC2B0D" w:rsidRPr="00F02042">
        <w:rPr>
          <w:b/>
          <w:lang w:val="en-US"/>
        </w:rPr>
        <w:t xml:space="preserve"> </w:t>
      </w:r>
      <w:r w:rsidR="00600AA5" w:rsidRPr="00F02042">
        <w:rPr>
          <w:b/>
          <w:lang w:val="en-US"/>
        </w:rPr>
        <w:t xml:space="preserve">all harmful practices, such as child, early and forced marriage and female genital mutilation, recommends that the State party: </w:t>
      </w:r>
    </w:p>
    <w:p w14:paraId="009B4C29" w14:textId="20A97254" w:rsidR="00600AA5" w:rsidRPr="00F02042" w:rsidRDefault="00600AA5" w:rsidP="00F02042">
      <w:pPr>
        <w:pStyle w:val="SingleTxtG"/>
        <w:rPr>
          <w:b/>
          <w:lang w:val="en-US"/>
        </w:rPr>
      </w:pPr>
      <w:r w:rsidRPr="00F02042">
        <w:rPr>
          <w:b/>
          <w:lang w:val="en-US"/>
        </w:rPr>
        <w:tab/>
        <w:t>(a)</w:t>
      </w:r>
      <w:r w:rsidRPr="00F02042">
        <w:rPr>
          <w:b/>
          <w:lang w:val="en-US"/>
        </w:rPr>
        <w:tab/>
      </w:r>
      <w:r w:rsidR="00DD5728" w:rsidRPr="00F02042">
        <w:rPr>
          <w:b/>
          <w:lang w:val="en-US"/>
        </w:rPr>
        <w:t>Specifically</w:t>
      </w:r>
      <w:r w:rsidRPr="00F02042">
        <w:rPr>
          <w:b/>
          <w:lang w:val="en-US"/>
        </w:rPr>
        <w:t xml:space="preserve"> criminalize the practice of wahaya</w:t>
      </w:r>
      <w:r w:rsidR="00121743" w:rsidRPr="00F02042">
        <w:rPr>
          <w:b/>
          <w:lang w:val="en-US"/>
        </w:rPr>
        <w:t xml:space="preserve">, </w:t>
      </w:r>
      <w:r w:rsidR="00D1689F">
        <w:rPr>
          <w:b/>
          <w:lang w:val="en-US"/>
        </w:rPr>
        <w:t xml:space="preserve">with the same penalties </w:t>
      </w:r>
      <w:r w:rsidR="00121743" w:rsidRPr="00F02042">
        <w:rPr>
          <w:b/>
          <w:lang w:val="en-US"/>
        </w:rPr>
        <w:t xml:space="preserve">as </w:t>
      </w:r>
      <w:r w:rsidR="00D1689F">
        <w:rPr>
          <w:b/>
          <w:lang w:val="en-US"/>
        </w:rPr>
        <w:t>other</w:t>
      </w:r>
      <w:r w:rsidR="00D1689F" w:rsidRPr="00F02042">
        <w:rPr>
          <w:b/>
          <w:lang w:val="en-US"/>
        </w:rPr>
        <w:t xml:space="preserve"> </w:t>
      </w:r>
      <w:r w:rsidR="00121743" w:rsidRPr="00F02042">
        <w:rPr>
          <w:b/>
          <w:lang w:val="en-US"/>
        </w:rPr>
        <w:t>form</w:t>
      </w:r>
      <w:r w:rsidR="00D1689F">
        <w:rPr>
          <w:b/>
          <w:lang w:val="en-US"/>
        </w:rPr>
        <w:t>s</w:t>
      </w:r>
      <w:r w:rsidR="00121743" w:rsidRPr="00F02042">
        <w:rPr>
          <w:b/>
          <w:lang w:val="en-US"/>
        </w:rPr>
        <w:t xml:space="preserve"> of slavery</w:t>
      </w:r>
      <w:r w:rsidRPr="00F02042">
        <w:rPr>
          <w:b/>
          <w:lang w:val="en-US"/>
        </w:rPr>
        <w:t xml:space="preserve">; </w:t>
      </w:r>
    </w:p>
    <w:p w14:paraId="60C57D0F" w14:textId="432D726E" w:rsidR="00D86F23" w:rsidRPr="00F02042" w:rsidRDefault="00600AA5" w:rsidP="00F02042">
      <w:pPr>
        <w:pStyle w:val="SingleTxtG"/>
        <w:rPr>
          <w:b/>
          <w:lang w:val="en-US"/>
        </w:rPr>
      </w:pPr>
      <w:r w:rsidRPr="00F02042">
        <w:rPr>
          <w:b/>
          <w:lang w:val="en-US"/>
        </w:rPr>
        <w:tab/>
        <w:t>(b</w:t>
      </w:r>
      <w:r w:rsidR="00F02042">
        <w:rPr>
          <w:b/>
          <w:lang w:val="en-US"/>
        </w:rPr>
        <w:t>)</w:t>
      </w:r>
      <w:r w:rsidR="00D86F23" w:rsidRPr="00F02042">
        <w:rPr>
          <w:b/>
          <w:lang w:val="en-US"/>
        </w:rPr>
        <w:tab/>
      </w:r>
      <w:r w:rsidR="00DD5728" w:rsidRPr="00F02042">
        <w:rPr>
          <w:b/>
          <w:lang w:val="en-US"/>
        </w:rPr>
        <w:t>Ensure that</w:t>
      </w:r>
      <w:r w:rsidR="00D86F23" w:rsidRPr="00F02042">
        <w:rPr>
          <w:b/>
          <w:lang w:val="en-US"/>
        </w:rPr>
        <w:t xml:space="preserve"> </w:t>
      </w:r>
      <w:r w:rsidR="005F149F" w:rsidRPr="00F02042">
        <w:rPr>
          <w:b/>
          <w:lang w:val="en-US"/>
        </w:rPr>
        <w:t>a</w:t>
      </w:r>
      <w:r w:rsidR="00D86F23" w:rsidRPr="00F02042">
        <w:rPr>
          <w:b/>
          <w:lang w:val="en-US"/>
        </w:rPr>
        <w:t>rticles 232.1-3 of the Criminal Code prohibiting female genital mutilation</w:t>
      </w:r>
      <w:r w:rsidR="00DD5728" w:rsidRPr="00F02042">
        <w:rPr>
          <w:b/>
          <w:lang w:val="en-US"/>
        </w:rPr>
        <w:t xml:space="preserve"> are strictly enforced</w:t>
      </w:r>
      <w:r w:rsidR="005F149F" w:rsidRPr="00F02042">
        <w:rPr>
          <w:b/>
          <w:lang w:val="en-US"/>
        </w:rPr>
        <w:t>;</w:t>
      </w:r>
    </w:p>
    <w:p w14:paraId="135BA330" w14:textId="7EDB91C3" w:rsidR="000A5EF4" w:rsidRPr="00F02042" w:rsidRDefault="00600AA5" w:rsidP="00F02042">
      <w:pPr>
        <w:pStyle w:val="SingleTxtG"/>
        <w:rPr>
          <w:b/>
          <w:lang w:val="en-US"/>
        </w:rPr>
      </w:pPr>
      <w:r w:rsidRPr="00F02042">
        <w:rPr>
          <w:b/>
          <w:lang w:val="en-US"/>
        </w:rPr>
        <w:tab/>
        <w:t>(c</w:t>
      </w:r>
      <w:r w:rsidR="00D86F23" w:rsidRPr="00F02042">
        <w:rPr>
          <w:b/>
          <w:lang w:val="en-US"/>
        </w:rPr>
        <w:t>)</w:t>
      </w:r>
      <w:r w:rsidR="00D86F23" w:rsidRPr="00F02042">
        <w:rPr>
          <w:b/>
          <w:lang w:val="en-US"/>
        </w:rPr>
        <w:tab/>
        <w:t xml:space="preserve">Provide training for </w:t>
      </w:r>
      <w:r w:rsidR="00DD5728" w:rsidRPr="00F02042">
        <w:rPr>
          <w:b/>
          <w:lang w:val="en-US"/>
        </w:rPr>
        <w:t xml:space="preserve">judges, prosecutor, the police and </w:t>
      </w:r>
      <w:r w:rsidR="00D86F23" w:rsidRPr="00F02042">
        <w:rPr>
          <w:b/>
          <w:lang w:val="en-US"/>
        </w:rPr>
        <w:t>law enforcement officers</w:t>
      </w:r>
      <w:r w:rsidR="005F149F" w:rsidRPr="00F02042">
        <w:rPr>
          <w:b/>
          <w:lang w:val="en-US"/>
        </w:rPr>
        <w:t xml:space="preserve"> </w:t>
      </w:r>
      <w:r w:rsidR="00D86F23" w:rsidRPr="00F02042">
        <w:rPr>
          <w:b/>
          <w:lang w:val="en-US"/>
        </w:rPr>
        <w:t xml:space="preserve">on the strict application of these sanctions to ensure that perpetrators and practitioners of </w:t>
      </w:r>
      <w:r w:rsidR="00094C08" w:rsidRPr="00F02042">
        <w:rPr>
          <w:b/>
          <w:lang w:val="en-US"/>
        </w:rPr>
        <w:t>t</w:t>
      </w:r>
      <w:r w:rsidR="000A5EF4" w:rsidRPr="00F02042">
        <w:rPr>
          <w:b/>
          <w:lang w:val="en-US"/>
        </w:rPr>
        <w:t>hese harmful practices</w:t>
      </w:r>
      <w:r w:rsidR="00D86F23" w:rsidRPr="00F02042">
        <w:rPr>
          <w:b/>
          <w:lang w:val="en-US"/>
        </w:rPr>
        <w:t xml:space="preserve"> are effectively investigated, prosecuted and punished </w:t>
      </w:r>
      <w:r w:rsidR="005F149F" w:rsidRPr="00F02042">
        <w:rPr>
          <w:b/>
          <w:lang w:val="en-US"/>
        </w:rPr>
        <w:t xml:space="preserve">and that victims are </w:t>
      </w:r>
      <w:r w:rsidR="00DD5728" w:rsidRPr="00F02042">
        <w:rPr>
          <w:b/>
          <w:lang w:val="en-US"/>
        </w:rPr>
        <w:t>provided with assistance and</w:t>
      </w:r>
      <w:r w:rsidR="005F149F" w:rsidRPr="00F02042">
        <w:rPr>
          <w:b/>
          <w:lang w:val="en-US"/>
        </w:rPr>
        <w:t xml:space="preserve"> rehabilitation;</w:t>
      </w:r>
      <w:r w:rsidR="000A5EF4" w:rsidRPr="00F02042">
        <w:rPr>
          <w:b/>
          <w:lang w:val="en-US"/>
        </w:rPr>
        <w:t xml:space="preserve"> </w:t>
      </w:r>
      <w:r w:rsidR="00D87D87" w:rsidRPr="00F02042">
        <w:rPr>
          <w:b/>
          <w:lang w:val="en-US"/>
        </w:rPr>
        <w:t>and,</w:t>
      </w:r>
    </w:p>
    <w:p w14:paraId="3D90153F" w14:textId="6720FBAA" w:rsidR="008D2AE1" w:rsidRPr="00F02042" w:rsidRDefault="000A5EF4" w:rsidP="00F02042">
      <w:pPr>
        <w:pStyle w:val="SingleTxtG"/>
        <w:rPr>
          <w:b/>
          <w:lang w:val="en-US"/>
        </w:rPr>
      </w:pPr>
      <w:r w:rsidRPr="00F02042">
        <w:rPr>
          <w:b/>
          <w:lang w:val="en-US"/>
        </w:rPr>
        <w:tab/>
        <w:t>(</w:t>
      </w:r>
      <w:r w:rsidR="00600AA5" w:rsidRPr="00F02042">
        <w:rPr>
          <w:b/>
          <w:lang w:val="en-US"/>
        </w:rPr>
        <w:t>d</w:t>
      </w:r>
      <w:r w:rsidR="00D86F23" w:rsidRPr="00F02042">
        <w:rPr>
          <w:b/>
          <w:lang w:val="en-US"/>
        </w:rPr>
        <w:t>)</w:t>
      </w:r>
      <w:r w:rsidR="00D86F23" w:rsidRPr="00F02042">
        <w:rPr>
          <w:b/>
          <w:lang w:val="en-US"/>
        </w:rPr>
        <w:tab/>
        <w:t xml:space="preserve">Develop and </w:t>
      </w:r>
      <w:r w:rsidR="00DD5728" w:rsidRPr="00F02042">
        <w:rPr>
          <w:b/>
          <w:lang w:val="en-US"/>
        </w:rPr>
        <w:t xml:space="preserve">allocate </w:t>
      </w:r>
      <w:r w:rsidR="00D86F23" w:rsidRPr="00F02042">
        <w:rPr>
          <w:b/>
          <w:lang w:val="en-US"/>
        </w:rPr>
        <w:t>sufficient resource</w:t>
      </w:r>
      <w:r w:rsidR="00DD5728" w:rsidRPr="00F02042">
        <w:rPr>
          <w:b/>
          <w:lang w:val="en-US"/>
        </w:rPr>
        <w:t>s</w:t>
      </w:r>
      <w:r w:rsidR="00D86F23" w:rsidRPr="00F02042">
        <w:rPr>
          <w:b/>
          <w:lang w:val="en-US"/>
        </w:rPr>
        <w:t xml:space="preserve"> </w:t>
      </w:r>
      <w:r w:rsidR="00DD5728" w:rsidRPr="00F02042">
        <w:rPr>
          <w:b/>
          <w:lang w:val="en-US"/>
        </w:rPr>
        <w:t xml:space="preserve">for the implementation of </w:t>
      </w:r>
      <w:r w:rsidR="00D86F23" w:rsidRPr="00F02042">
        <w:rPr>
          <w:b/>
          <w:lang w:val="en-US"/>
        </w:rPr>
        <w:t xml:space="preserve">a national plan of action to combat </w:t>
      </w:r>
      <w:r w:rsidR="00094C08" w:rsidRPr="00F02042">
        <w:rPr>
          <w:b/>
          <w:lang w:val="en-US"/>
        </w:rPr>
        <w:t>harmful practices</w:t>
      </w:r>
      <w:r w:rsidR="00D86F23" w:rsidRPr="00F02042">
        <w:rPr>
          <w:b/>
          <w:lang w:val="en-US"/>
        </w:rPr>
        <w:t xml:space="preserve">, </w:t>
      </w:r>
      <w:r w:rsidR="00DD5728" w:rsidRPr="00F02042">
        <w:rPr>
          <w:b/>
          <w:lang w:val="en-US"/>
        </w:rPr>
        <w:t>providing for</w:t>
      </w:r>
      <w:r w:rsidR="005F149F" w:rsidRPr="00F02042">
        <w:rPr>
          <w:b/>
          <w:lang w:val="en-US"/>
        </w:rPr>
        <w:t xml:space="preserve"> strategic media campaigns and educational programmes </w:t>
      </w:r>
      <w:r w:rsidR="00D86F23" w:rsidRPr="00F02042">
        <w:rPr>
          <w:b/>
          <w:lang w:val="en-US"/>
        </w:rPr>
        <w:t xml:space="preserve">to raise awareness </w:t>
      </w:r>
      <w:r w:rsidR="00DD5728" w:rsidRPr="00F02042">
        <w:rPr>
          <w:b/>
          <w:lang w:val="en-US"/>
        </w:rPr>
        <w:t>among</w:t>
      </w:r>
      <w:r w:rsidR="00D86F23" w:rsidRPr="00F02042">
        <w:rPr>
          <w:b/>
          <w:lang w:val="en-US"/>
        </w:rPr>
        <w:t xml:space="preserve"> traditional </w:t>
      </w:r>
      <w:r w:rsidR="00121743" w:rsidRPr="00F02042">
        <w:rPr>
          <w:b/>
          <w:lang w:val="en-US"/>
        </w:rPr>
        <w:t xml:space="preserve">and religious </w:t>
      </w:r>
      <w:r w:rsidR="00D86F23" w:rsidRPr="00F02042">
        <w:rPr>
          <w:b/>
          <w:lang w:val="en-US"/>
        </w:rPr>
        <w:t>leaders</w:t>
      </w:r>
      <w:r w:rsidR="00DD5728" w:rsidRPr="00F02042">
        <w:rPr>
          <w:b/>
          <w:lang w:val="en-US"/>
        </w:rPr>
        <w:t>, health care and social workers</w:t>
      </w:r>
      <w:r w:rsidR="005F149F" w:rsidRPr="00F02042">
        <w:rPr>
          <w:b/>
          <w:lang w:val="en-US"/>
        </w:rPr>
        <w:t xml:space="preserve"> and the general public</w:t>
      </w:r>
      <w:r w:rsidR="00D86F23" w:rsidRPr="00F02042">
        <w:rPr>
          <w:b/>
          <w:lang w:val="en-US"/>
        </w:rPr>
        <w:t xml:space="preserve"> </w:t>
      </w:r>
      <w:r w:rsidR="00DD5728" w:rsidRPr="00F02042">
        <w:rPr>
          <w:b/>
          <w:lang w:val="en-US"/>
        </w:rPr>
        <w:t>about</w:t>
      </w:r>
      <w:r w:rsidR="00D86F23" w:rsidRPr="00F02042">
        <w:rPr>
          <w:b/>
          <w:lang w:val="en-US"/>
        </w:rPr>
        <w:t xml:space="preserve"> the negative impact of the practice</w:t>
      </w:r>
      <w:r w:rsidR="00094C08" w:rsidRPr="00F02042">
        <w:rPr>
          <w:b/>
          <w:lang w:val="en-US"/>
        </w:rPr>
        <w:t>s</w:t>
      </w:r>
      <w:r w:rsidR="00D86F23" w:rsidRPr="00F02042">
        <w:rPr>
          <w:b/>
          <w:lang w:val="en-US"/>
        </w:rPr>
        <w:t xml:space="preserve"> on women and girls. </w:t>
      </w:r>
    </w:p>
    <w:p w14:paraId="5B8BDD30" w14:textId="69D6A885" w:rsidR="002128F6" w:rsidRPr="002128F6" w:rsidRDefault="00600AA5" w:rsidP="002128F6">
      <w:pPr>
        <w:pStyle w:val="H23G"/>
        <w:jc w:val="both"/>
        <w:rPr>
          <w:lang w:val="en-US"/>
        </w:rPr>
      </w:pPr>
      <w:r>
        <w:rPr>
          <w:lang w:val="en-US"/>
        </w:rPr>
        <w:tab/>
      </w:r>
      <w:r>
        <w:rPr>
          <w:lang w:val="en-US"/>
        </w:rPr>
        <w:tab/>
      </w:r>
      <w:r w:rsidR="00A23167">
        <w:rPr>
          <w:lang w:val="en-US"/>
        </w:rPr>
        <w:t>Sexual and g</w:t>
      </w:r>
      <w:r w:rsidR="002128F6" w:rsidRPr="002128F6">
        <w:rPr>
          <w:lang w:val="en-US"/>
        </w:rPr>
        <w:t>ender-based violence</w:t>
      </w:r>
      <w:r w:rsidR="00DD5728">
        <w:rPr>
          <w:lang w:val="en-US"/>
        </w:rPr>
        <w:t xml:space="preserve"> against women</w:t>
      </w:r>
    </w:p>
    <w:p w14:paraId="1FB16955" w14:textId="0DE6DB2C" w:rsidR="00DE6BE0" w:rsidRDefault="008B3602" w:rsidP="00F02042">
      <w:pPr>
        <w:pStyle w:val="SingleTxtG"/>
        <w:rPr>
          <w:lang w:val="en-US"/>
        </w:rPr>
      </w:pPr>
      <w:r>
        <w:rPr>
          <w:lang w:val="en-US"/>
        </w:rPr>
        <w:t>22</w:t>
      </w:r>
      <w:r w:rsidR="002128F6" w:rsidRPr="002128F6">
        <w:rPr>
          <w:lang w:val="en-US"/>
        </w:rPr>
        <w:t>.</w:t>
      </w:r>
      <w:r w:rsidR="002128F6" w:rsidRPr="002128F6">
        <w:rPr>
          <w:lang w:val="en-US"/>
        </w:rPr>
        <w:tab/>
        <w:t xml:space="preserve">The Committee </w:t>
      </w:r>
      <w:r w:rsidR="00476738">
        <w:rPr>
          <w:lang w:val="en-US"/>
        </w:rPr>
        <w:t xml:space="preserve">notes </w:t>
      </w:r>
      <w:r w:rsidR="00F02227">
        <w:rPr>
          <w:lang w:val="en-US"/>
        </w:rPr>
        <w:t>the</w:t>
      </w:r>
      <w:r w:rsidR="00476738">
        <w:rPr>
          <w:lang w:val="en-US"/>
        </w:rPr>
        <w:t xml:space="preserve"> </w:t>
      </w:r>
      <w:r w:rsidR="00476738" w:rsidRPr="00476738">
        <w:rPr>
          <w:lang w:val="en-US"/>
        </w:rPr>
        <w:t>development of a national strategy to prevent and respond to gender based violence</w:t>
      </w:r>
      <w:r w:rsidR="00DE6BE0">
        <w:rPr>
          <w:lang w:val="en-US"/>
        </w:rPr>
        <w:t xml:space="preserve"> as well as </w:t>
      </w:r>
      <w:r w:rsidR="00EE58EA">
        <w:rPr>
          <w:lang w:val="en-US"/>
        </w:rPr>
        <w:t xml:space="preserve">the delegation’s assurance during the constructive dialogue of </w:t>
      </w:r>
      <w:r w:rsidR="00DE6BE0">
        <w:rPr>
          <w:lang w:val="en-US"/>
        </w:rPr>
        <w:t>the planned construction of 140 “Safe Centres” in each region of the State party</w:t>
      </w:r>
      <w:r w:rsidR="00476738">
        <w:rPr>
          <w:lang w:val="en-US"/>
        </w:rPr>
        <w:t>. It</w:t>
      </w:r>
      <w:r w:rsidR="00476738" w:rsidRPr="00476738">
        <w:rPr>
          <w:lang w:val="en-US"/>
        </w:rPr>
        <w:t xml:space="preserve"> </w:t>
      </w:r>
      <w:r w:rsidR="00476738">
        <w:rPr>
          <w:lang w:val="en-US"/>
        </w:rPr>
        <w:t>remains</w:t>
      </w:r>
      <w:r w:rsidR="002128F6">
        <w:rPr>
          <w:lang w:val="en-US"/>
        </w:rPr>
        <w:t xml:space="preserve"> concerned</w:t>
      </w:r>
      <w:r w:rsidR="00476738">
        <w:rPr>
          <w:lang w:val="en-US"/>
        </w:rPr>
        <w:t>, however,</w:t>
      </w:r>
      <w:r w:rsidR="00820286">
        <w:rPr>
          <w:lang w:val="en-US"/>
        </w:rPr>
        <w:t xml:space="preserve"> that gender-based</w:t>
      </w:r>
      <w:r w:rsidR="00C57B82">
        <w:rPr>
          <w:lang w:val="en-US"/>
        </w:rPr>
        <w:t xml:space="preserve"> </w:t>
      </w:r>
      <w:r w:rsidR="002128F6" w:rsidRPr="002128F6">
        <w:rPr>
          <w:lang w:val="en-US"/>
        </w:rPr>
        <w:t>violence</w:t>
      </w:r>
      <w:r w:rsidR="00BE04EB">
        <w:rPr>
          <w:lang w:val="en-US"/>
        </w:rPr>
        <w:t xml:space="preserve"> against women and girls</w:t>
      </w:r>
      <w:r w:rsidR="002128F6" w:rsidRPr="002128F6">
        <w:rPr>
          <w:lang w:val="en-US"/>
        </w:rPr>
        <w:t xml:space="preserve">, including sexual </w:t>
      </w:r>
      <w:r w:rsidR="00BE04EB">
        <w:rPr>
          <w:lang w:val="en-US"/>
        </w:rPr>
        <w:t xml:space="preserve">and domestic </w:t>
      </w:r>
      <w:r w:rsidR="002128F6" w:rsidRPr="002128F6">
        <w:rPr>
          <w:lang w:val="en-US"/>
        </w:rPr>
        <w:t>violence, appears to be socially legitimized and accompanied by a culture of silence and impunity</w:t>
      </w:r>
      <w:r w:rsidR="00820286">
        <w:rPr>
          <w:lang w:val="en-US"/>
        </w:rPr>
        <w:t xml:space="preserve">, and </w:t>
      </w:r>
      <w:r w:rsidR="00C57B82">
        <w:rPr>
          <w:lang w:val="en-US"/>
        </w:rPr>
        <w:t xml:space="preserve">that </w:t>
      </w:r>
      <w:r w:rsidR="00820286">
        <w:rPr>
          <w:lang w:val="en-US"/>
        </w:rPr>
        <w:t>victims have l</w:t>
      </w:r>
      <w:r w:rsidR="00C57B82">
        <w:rPr>
          <w:lang w:val="en-US"/>
        </w:rPr>
        <w:t>imi</w:t>
      </w:r>
      <w:r w:rsidR="00820286">
        <w:rPr>
          <w:lang w:val="en-US"/>
        </w:rPr>
        <w:t>ted means of assistance, pro</w:t>
      </w:r>
      <w:r w:rsidR="00820286" w:rsidRPr="00820286">
        <w:rPr>
          <w:lang w:val="en-US"/>
        </w:rPr>
        <w:t xml:space="preserve">tection or redress. It is further concerned that </w:t>
      </w:r>
      <w:r w:rsidR="00BE04EB">
        <w:rPr>
          <w:lang w:val="en-US"/>
        </w:rPr>
        <w:t xml:space="preserve">marital rape is not specifically criminalized and that </w:t>
      </w:r>
      <w:r w:rsidR="00820286" w:rsidRPr="00820286">
        <w:rPr>
          <w:lang w:val="en-US"/>
        </w:rPr>
        <w:t>n</w:t>
      </w:r>
      <w:r w:rsidR="008D2AE1" w:rsidRPr="00820286">
        <w:rPr>
          <w:lang w:val="en-US"/>
        </w:rPr>
        <w:t xml:space="preserve">o definition of statutory rape </w:t>
      </w:r>
      <w:r w:rsidR="00820286" w:rsidRPr="00820286">
        <w:rPr>
          <w:lang w:val="en-US"/>
        </w:rPr>
        <w:t xml:space="preserve">exists </w:t>
      </w:r>
      <w:r w:rsidR="008D2AE1" w:rsidRPr="00820286">
        <w:rPr>
          <w:lang w:val="en-US"/>
        </w:rPr>
        <w:t>in the State party</w:t>
      </w:r>
      <w:r w:rsidR="00BE04EB">
        <w:rPr>
          <w:lang w:val="en-US"/>
        </w:rPr>
        <w:t>’s legislati</w:t>
      </w:r>
      <w:r w:rsidR="00FB11B4">
        <w:rPr>
          <w:lang w:val="en-US"/>
        </w:rPr>
        <w:t>o</w:t>
      </w:r>
      <w:r w:rsidR="00BE04EB">
        <w:rPr>
          <w:lang w:val="en-US"/>
        </w:rPr>
        <w:t>n</w:t>
      </w:r>
      <w:r w:rsidR="008D2AE1" w:rsidRPr="00820286">
        <w:rPr>
          <w:lang w:val="en-US"/>
        </w:rPr>
        <w:t xml:space="preserve"> due to the absence of a </w:t>
      </w:r>
      <w:r w:rsidR="00820286" w:rsidRPr="00820286">
        <w:rPr>
          <w:lang w:val="en-US"/>
        </w:rPr>
        <w:t xml:space="preserve">legal </w:t>
      </w:r>
      <w:r w:rsidR="008D2AE1" w:rsidRPr="00820286">
        <w:rPr>
          <w:lang w:val="en-US"/>
        </w:rPr>
        <w:t>minimum age for sexual consent</w:t>
      </w:r>
      <w:r w:rsidR="00820286" w:rsidRPr="00820286">
        <w:rPr>
          <w:lang w:val="en-US"/>
        </w:rPr>
        <w:t>.</w:t>
      </w:r>
    </w:p>
    <w:p w14:paraId="7422B51F" w14:textId="51E7288D" w:rsidR="00EE6E3F" w:rsidRPr="00F02042" w:rsidRDefault="008B3602" w:rsidP="00F02042">
      <w:pPr>
        <w:pStyle w:val="SingleTxtG"/>
        <w:rPr>
          <w:b/>
          <w:lang w:val="en-US"/>
        </w:rPr>
      </w:pPr>
      <w:r w:rsidRPr="00F02042">
        <w:rPr>
          <w:lang w:val="en-US"/>
        </w:rPr>
        <w:t>23</w:t>
      </w:r>
      <w:r w:rsidR="00EE6E3F" w:rsidRPr="00F02042">
        <w:rPr>
          <w:lang w:val="en-US"/>
        </w:rPr>
        <w:t>.</w:t>
      </w:r>
      <w:r w:rsidR="00EE6E3F" w:rsidRPr="00F02042">
        <w:rPr>
          <w:lang w:val="en-US"/>
        </w:rPr>
        <w:tab/>
      </w:r>
      <w:r w:rsidR="00EE6E3F" w:rsidRPr="00F02042">
        <w:rPr>
          <w:b/>
          <w:lang w:val="en-US"/>
        </w:rPr>
        <w:t xml:space="preserve">The Committee, recalling its </w:t>
      </w:r>
      <w:r w:rsidR="008D2AE1" w:rsidRPr="00F02042">
        <w:rPr>
          <w:b/>
          <w:lang w:val="en-US"/>
        </w:rPr>
        <w:t>general recommendation</w:t>
      </w:r>
      <w:r w:rsidR="00BE04EB" w:rsidRPr="00F02042">
        <w:rPr>
          <w:b/>
          <w:lang w:val="en-US"/>
        </w:rPr>
        <w:t>s</w:t>
      </w:r>
      <w:r w:rsidR="008D2AE1" w:rsidRPr="00F02042">
        <w:rPr>
          <w:b/>
          <w:lang w:val="en-US"/>
        </w:rPr>
        <w:t xml:space="preserve"> No. 35 (2017) </w:t>
      </w:r>
      <w:r w:rsidR="00BE04EB" w:rsidRPr="00F02042">
        <w:rPr>
          <w:b/>
          <w:lang w:val="en-US"/>
        </w:rPr>
        <w:t>on gender-based violence against women and</w:t>
      </w:r>
      <w:r w:rsidR="00EE6E3F" w:rsidRPr="00F02042">
        <w:rPr>
          <w:b/>
          <w:lang w:val="en-US"/>
        </w:rPr>
        <w:t xml:space="preserve"> No. 19 (1992) on violence against women</w:t>
      </w:r>
      <w:r w:rsidR="00BE04EB" w:rsidRPr="00F02042">
        <w:rPr>
          <w:b/>
          <w:lang w:val="en-US"/>
        </w:rPr>
        <w:t>,</w:t>
      </w:r>
      <w:r w:rsidR="00EE6E3F" w:rsidRPr="00F02042">
        <w:rPr>
          <w:b/>
          <w:lang w:val="en-US"/>
        </w:rPr>
        <w:t xml:space="preserve"> recommends that the State party:</w:t>
      </w:r>
    </w:p>
    <w:p w14:paraId="728B5EE5" w14:textId="1F93CB5F" w:rsidR="00EE6E3F" w:rsidRPr="00F02042" w:rsidRDefault="00EE6E3F" w:rsidP="00F02042">
      <w:pPr>
        <w:pStyle w:val="SingleTxtG"/>
        <w:rPr>
          <w:b/>
          <w:lang w:val="en-US"/>
        </w:rPr>
      </w:pPr>
      <w:r w:rsidRPr="00F02042">
        <w:rPr>
          <w:b/>
          <w:lang w:val="en-US"/>
        </w:rPr>
        <w:tab/>
        <w:t>(a)</w:t>
      </w:r>
      <w:r w:rsidRPr="00F02042">
        <w:rPr>
          <w:b/>
          <w:lang w:val="en-US"/>
        </w:rPr>
        <w:tab/>
        <w:t xml:space="preserve">Enact </w:t>
      </w:r>
      <w:r w:rsidR="004739B0" w:rsidRPr="00F02042">
        <w:rPr>
          <w:b/>
          <w:lang w:val="en-US"/>
        </w:rPr>
        <w:t>legislation to</w:t>
      </w:r>
      <w:r w:rsidRPr="00F02042">
        <w:rPr>
          <w:b/>
          <w:lang w:val="en-US"/>
        </w:rPr>
        <w:t xml:space="preserve"> specifically </w:t>
      </w:r>
      <w:r w:rsidR="004739B0" w:rsidRPr="00F02042">
        <w:rPr>
          <w:b/>
          <w:lang w:val="en-US"/>
        </w:rPr>
        <w:t xml:space="preserve">define and criminalize </w:t>
      </w:r>
      <w:r w:rsidR="007C3644" w:rsidRPr="00F02042">
        <w:rPr>
          <w:b/>
          <w:lang w:val="en-US"/>
        </w:rPr>
        <w:t>sexual</w:t>
      </w:r>
      <w:r w:rsidRPr="00F02042">
        <w:rPr>
          <w:b/>
          <w:lang w:val="en-US"/>
        </w:rPr>
        <w:t xml:space="preserve"> violence against women</w:t>
      </w:r>
      <w:r w:rsidR="004739B0" w:rsidRPr="00F02042">
        <w:rPr>
          <w:b/>
          <w:lang w:val="en-US"/>
        </w:rPr>
        <w:t>, including</w:t>
      </w:r>
      <w:r w:rsidRPr="00F02042">
        <w:rPr>
          <w:b/>
          <w:lang w:val="en-US"/>
        </w:rPr>
        <w:t xml:space="preserve"> </w:t>
      </w:r>
      <w:r w:rsidR="00F02227" w:rsidRPr="00F02042">
        <w:rPr>
          <w:b/>
          <w:lang w:val="en-US"/>
        </w:rPr>
        <w:t>statutory and</w:t>
      </w:r>
      <w:r w:rsidRPr="00F02042">
        <w:rPr>
          <w:b/>
          <w:lang w:val="en-US"/>
        </w:rPr>
        <w:t xml:space="preserve"> marital rape, and </w:t>
      </w:r>
      <w:r w:rsidR="00BE04EB" w:rsidRPr="00F02042">
        <w:rPr>
          <w:b/>
          <w:lang w:val="en-US"/>
        </w:rPr>
        <w:t>strengthen</w:t>
      </w:r>
      <w:r w:rsidR="004739B0" w:rsidRPr="00F02042">
        <w:rPr>
          <w:b/>
          <w:lang w:val="en-US"/>
        </w:rPr>
        <w:t xml:space="preserve"> </w:t>
      </w:r>
      <w:r w:rsidR="000D5BE3" w:rsidRPr="00F02042">
        <w:rPr>
          <w:b/>
          <w:lang w:val="en-US"/>
        </w:rPr>
        <w:t>the</w:t>
      </w:r>
      <w:r w:rsidR="004739B0" w:rsidRPr="00F02042">
        <w:rPr>
          <w:b/>
          <w:lang w:val="en-US"/>
        </w:rPr>
        <w:t xml:space="preserve"> protection of victims </w:t>
      </w:r>
      <w:r w:rsidR="00BE04EB" w:rsidRPr="00F02042">
        <w:rPr>
          <w:b/>
          <w:lang w:val="en-US"/>
        </w:rPr>
        <w:t>as well as</w:t>
      </w:r>
      <w:r w:rsidR="004739B0" w:rsidRPr="00F02042">
        <w:rPr>
          <w:b/>
          <w:lang w:val="en-US"/>
        </w:rPr>
        <w:t xml:space="preserve"> prosecution and punishment of perpetrators; </w:t>
      </w:r>
    </w:p>
    <w:p w14:paraId="67C4621D" w14:textId="44966F39" w:rsidR="00EE6E3F" w:rsidRPr="00F02042" w:rsidRDefault="00EE6E3F" w:rsidP="00F02042">
      <w:pPr>
        <w:pStyle w:val="SingleTxtG"/>
        <w:rPr>
          <w:b/>
          <w:lang w:val="en-US"/>
        </w:rPr>
      </w:pPr>
      <w:r w:rsidRPr="00F02042">
        <w:rPr>
          <w:b/>
          <w:lang w:val="en-US"/>
        </w:rPr>
        <w:tab/>
        <w:t>(b)</w:t>
      </w:r>
      <w:r w:rsidRPr="00F02042">
        <w:rPr>
          <w:b/>
          <w:lang w:val="en-US"/>
        </w:rPr>
        <w:tab/>
        <w:t>Ensure that victims are destigmatized and encouraged to report incidents of gender-</w:t>
      </w:r>
      <w:r w:rsidR="001B622A" w:rsidRPr="00F02042">
        <w:rPr>
          <w:b/>
          <w:lang w:val="en-US"/>
        </w:rPr>
        <w:t>based violence, including by providing capacity-building programmes for judges</w:t>
      </w:r>
      <w:r w:rsidR="00653FD5" w:rsidRPr="00F02042">
        <w:rPr>
          <w:b/>
          <w:lang w:val="en-US"/>
        </w:rPr>
        <w:t>, prosecutors</w:t>
      </w:r>
      <w:r w:rsidR="001B622A" w:rsidRPr="00F02042">
        <w:rPr>
          <w:b/>
          <w:lang w:val="en-US"/>
        </w:rPr>
        <w:t xml:space="preserve">, </w:t>
      </w:r>
      <w:r w:rsidR="00BE04EB" w:rsidRPr="00F02042">
        <w:rPr>
          <w:b/>
          <w:lang w:val="en-US"/>
        </w:rPr>
        <w:t xml:space="preserve">the police, </w:t>
      </w:r>
      <w:r w:rsidR="001B622A" w:rsidRPr="00F02042">
        <w:rPr>
          <w:b/>
          <w:lang w:val="en-US"/>
        </w:rPr>
        <w:t xml:space="preserve">law enforcement </w:t>
      </w:r>
      <w:r w:rsidR="00653FD5" w:rsidRPr="00F02042">
        <w:rPr>
          <w:b/>
          <w:lang w:val="en-US"/>
        </w:rPr>
        <w:t xml:space="preserve">personnel, legal practitioners, and traditional leaders, </w:t>
      </w:r>
      <w:r w:rsidR="001B622A" w:rsidRPr="00F02042">
        <w:rPr>
          <w:b/>
          <w:lang w:val="en-US"/>
        </w:rPr>
        <w:t>on how to investigate such cases in a gender-sensitive manner</w:t>
      </w:r>
      <w:r w:rsidRPr="00F02042">
        <w:rPr>
          <w:b/>
          <w:lang w:val="en-US"/>
        </w:rPr>
        <w:t>;</w:t>
      </w:r>
    </w:p>
    <w:p w14:paraId="73F4D42A" w14:textId="3BC6A1B3" w:rsidR="001B622A" w:rsidRPr="00F02042" w:rsidRDefault="00EE6E3F" w:rsidP="00F02042">
      <w:pPr>
        <w:pStyle w:val="SingleTxtG"/>
        <w:rPr>
          <w:b/>
          <w:lang w:val="en-US"/>
        </w:rPr>
      </w:pPr>
      <w:r w:rsidRPr="00F02042">
        <w:rPr>
          <w:b/>
          <w:lang w:val="en-US"/>
        </w:rPr>
        <w:tab/>
      </w:r>
      <w:r w:rsidR="00734DAE" w:rsidRPr="00F02042">
        <w:rPr>
          <w:b/>
          <w:lang w:val="en-US"/>
        </w:rPr>
        <w:t>(c</w:t>
      </w:r>
      <w:r w:rsidRPr="00F02042">
        <w:rPr>
          <w:b/>
          <w:lang w:val="en-US"/>
        </w:rPr>
        <w:t>)</w:t>
      </w:r>
      <w:r w:rsidRPr="00F02042">
        <w:rPr>
          <w:b/>
          <w:lang w:val="en-US"/>
        </w:rPr>
        <w:tab/>
      </w:r>
      <w:r w:rsidR="001B622A" w:rsidRPr="00F02042">
        <w:rPr>
          <w:b/>
          <w:lang w:val="en-US"/>
        </w:rPr>
        <w:t xml:space="preserve">Ensure that allegations of gender-based violence against women, including domestic violence, are </w:t>
      </w:r>
      <w:r w:rsidR="007C3644" w:rsidRPr="00F02042">
        <w:rPr>
          <w:b/>
          <w:lang w:val="en-US"/>
        </w:rPr>
        <w:t>effectively</w:t>
      </w:r>
      <w:r w:rsidR="001B622A" w:rsidRPr="00F02042">
        <w:rPr>
          <w:b/>
          <w:lang w:val="en-US"/>
        </w:rPr>
        <w:t xml:space="preserve"> investigated, prosecuted and </w:t>
      </w:r>
      <w:r w:rsidR="007C3644" w:rsidRPr="00F02042">
        <w:rPr>
          <w:b/>
          <w:lang w:val="en-US"/>
        </w:rPr>
        <w:t>adequately punished</w:t>
      </w:r>
      <w:r w:rsidR="001B622A" w:rsidRPr="00F02042">
        <w:rPr>
          <w:b/>
          <w:lang w:val="en-US"/>
        </w:rPr>
        <w:t xml:space="preserve"> and that</w:t>
      </w:r>
      <w:r w:rsidR="00C31BCA" w:rsidRPr="00F02042">
        <w:rPr>
          <w:b/>
          <w:lang w:val="en-US"/>
        </w:rPr>
        <w:t xml:space="preserve"> </w:t>
      </w:r>
      <w:r w:rsidR="001B622A" w:rsidRPr="00F02042">
        <w:rPr>
          <w:b/>
          <w:lang w:val="en-US"/>
        </w:rPr>
        <w:t>victims have access to appropriate redress, including compensation;</w:t>
      </w:r>
    </w:p>
    <w:p w14:paraId="127C431A" w14:textId="340C4E0B" w:rsidR="00EE6E3F" w:rsidRPr="00F02042" w:rsidRDefault="001B622A" w:rsidP="00F02042">
      <w:pPr>
        <w:pStyle w:val="SingleTxtG"/>
        <w:rPr>
          <w:b/>
          <w:lang w:val="en-US"/>
        </w:rPr>
      </w:pPr>
      <w:r w:rsidRPr="00F02042">
        <w:rPr>
          <w:b/>
          <w:lang w:val="en-US"/>
        </w:rPr>
        <w:tab/>
        <w:t>(d)</w:t>
      </w:r>
      <w:r w:rsidRPr="00F02042">
        <w:rPr>
          <w:b/>
          <w:lang w:val="en-US"/>
        </w:rPr>
        <w:tab/>
      </w:r>
      <w:r w:rsidR="007C3644" w:rsidRPr="00F02042">
        <w:rPr>
          <w:b/>
          <w:lang w:val="en-US"/>
        </w:rPr>
        <w:t>I</w:t>
      </w:r>
      <w:r w:rsidR="00EE6E3F" w:rsidRPr="00F02042">
        <w:rPr>
          <w:b/>
          <w:lang w:val="en-US"/>
        </w:rPr>
        <w:t>ncreas</w:t>
      </w:r>
      <w:r w:rsidR="007C3644" w:rsidRPr="00F02042">
        <w:rPr>
          <w:b/>
          <w:lang w:val="en-US"/>
        </w:rPr>
        <w:t>e</w:t>
      </w:r>
      <w:r w:rsidR="00EE6E3F" w:rsidRPr="00F02042">
        <w:rPr>
          <w:b/>
          <w:lang w:val="en-US"/>
        </w:rPr>
        <w:t xml:space="preserve"> the number of shelters</w:t>
      </w:r>
      <w:r w:rsidRPr="00F02042">
        <w:rPr>
          <w:b/>
          <w:lang w:val="en-US"/>
        </w:rPr>
        <w:t xml:space="preserve">, especially in rural areas, </w:t>
      </w:r>
      <w:r w:rsidR="007C3644" w:rsidRPr="00F02042">
        <w:rPr>
          <w:b/>
          <w:lang w:val="en-US"/>
        </w:rPr>
        <w:t xml:space="preserve">and </w:t>
      </w:r>
      <w:r w:rsidR="00EE6E3F" w:rsidRPr="00F02042">
        <w:rPr>
          <w:b/>
          <w:lang w:val="en-US"/>
        </w:rPr>
        <w:t>provid</w:t>
      </w:r>
      <w:r w:rsidR="007C3644" w:rsidRPr="00F02042">
        <w:rPr>
          <w:b/>
          <w:lang w:val="en-US"/>
        </w:rPr>
        <w:t>e</w:t>
      </w:r>
      <w:r w:rsidR="00EE6E3F" w:rsidRPr="00F02042">
        <w:rPr>
          <w:b/>
          <w:lang w:val="en-US"/>
        </w:rPr>
        <w:t xml:space="preserve"> medical treatment, psychosocial rehabilitation and reintegration programmes</w:t>
      </w:r>
      <w:r w:rsidR="009A6FFE" w:rsidRPr="00F02042">
        <w:rPr>
          <w:b/>
          <w:lang w:val="en-US"/>
        </w:rPr>
        <w:t>, as well as legal assistance</w:t>
      </w:r>
      <w:r w:rsidR="007C3644" w:rsidRPr="00F02042">
        <w:rPr>
          <w:b/>
          <w:lang w:val="en-US"/>
        </w:rPr>
        <w:t xml:space="preserve"> to victims of gender-based violence</w:t>
      </w:r>
      <w:r w:rsidR="00EE6E3F" w:rsidRPr="00F02042">
        <w:rPr>
          <w:b/>
          <w:lang w:val="en-US"/>
        </w:rPr>
        <w:t>;</w:t>
      </w:r>
      <w:r w:rsidR="00C57B82" w:rsidRPr="00F02042">
        <w:rPr>
          <w:b/>
          <w:lang w:val="en-US"/>
        </w:rPr>
        <w:t xml:space="preserve"> and,</w:t>
      </w:r>
    </w:p>
    <w:p w14:paraId="4426E907" w14:textId="4471F237" w:rsidR="00EE6E3F" w:rsidRPr="00F02042" w:rsidRDefault="00EE6E3F" w:rsidP="00F02042">
      <w:pPr>
        <w:pStyle w:val="SingleTxtG"/>
        <w:rPr>
          <w:b/>
          <w:lang w:val="en-US"/>
        </w:rPr>
      </w:pPr>
      <w:r w:rsidRPr="00F02042">
        <w:rPr>
          <w:b/>
          <w:lang w:val="en-US"/>
        </w:rPr>
        <w:tab/>
      </w:r>
      <w:r w:rsidR="008D2AE1" w:rsidRPr="00F02042">
        <w:rPr>
          <w:b/>
          <w:lang w:val="en-US"/>
        </w:rPr>
        <w:t>(</w:t>
      </w:r>
      <w:r w:rsidR="00BF4CEB" w:rsidRPr="00F02042">
        <w:rPr>
          <w:b/>
          <w:lang w:val="en-US"/>
        </w:rPr>
        <w:t>e</w:t>
      </w:r>
      <w:r w:rsidRPr="00F02042">
        <w:rPr>
          <w:b/>
          <w:lang w:val="en-US"/>
        </w:rPr>
        <w:t>)</w:t>
      </w:r>
      <w:r w:rsidRPr="00F02042">
        <w:rPr>
          <w:b/>
          <w:lang w:val="en-US"/>
        </w:rPr>
        <w:tab/>
      </w:r>
      <w:r w:rsidR="00BF4CEB" w:rsidRPr="00F02042">
        <w:rPr>
          <w:b/>
          <w:lang w:val="en-US"/>
        </w:rPr>
        <w:t>S</w:t>
      </w:r>
      <w:r w:rsidRPr="00F02042">
        <w:rPr>
          <w:b/>
          <w:lang w:val="en-US"/>
        </w:rPr>
        <w:t>ystematic</w:t>
      </w:r>
      <w:r w:rsidR="00BF4CEB" w:rsidRPr="00F02042">
        <w:rPr>
          <w:b/>
          <w:lang w:val="en-US"/>
        </w:rPr>
        <w:t>ally</w:t>
      </w:r>
      <w:r w:rsidRPr="00F02042">
        <w:rPr>
          <w:b/>
          <w:lang w:val="en-US"/>
        </w:rPr>
        <w:t xml:space="preserve"> collect</w:t>
      </w:r>
      <w:r w:rsidR="00BF4CEB" w:rsidRPr="00F02042">
        <w:rPr>
          <w:b/>
          <w:lang w:val="en-US"/>
        </w:rPr>
        <w:t xml:space="preserve"> and analyze</w:t>
      </w:r>
      <w:r w:rsidRPr="00F02042">
        <w:rPr>
          <w:b/>
          <w:lang w:val="en-US"/>
        </w:rPr>
        <w:t xml:space="preserve"> data on all forms of gender-based violence against women, disaggregated by age, region and </w:t>
      </w:r>
      <w:r w:rsidR="00BF4CEB" w:rsidRPr="00F02042">
        <w:rPr>
          <w:b/>
          <w:lang w:val="en-US"/>
        </w:rPr>
        <w:t xml:space="preserve">the </w:t>
      </w:r>
      <w:r w:rsidRPr="00F02042">
        <w:rPr>
          <w:b/>
          <w:lang w:val="en-US"/>
        </w:rPr>
        <w:t>relationship between the victim and the perpetrator</w:t>
      </w:r>
      <w:r w:rsidR="00BF4CEB" w:rsidRPr="00F02042">
        <w:rPr>
          <w:b/>
          <w:lang w:val="en-US"/>
        </w:rPr>
        <w:t xml:space="preserve">, as well as on protection orders, </w:t>
      </w:r>
      <w:r w:rsidR="007C3644" w:rsidRPr="00F02042">
        <w:rPr>
          <w:b/>
          <w:lang w:val="en-US"/>
        </w:rPr>
        <w:t xml:space="preserve">the number of </w:t>
      </w:r>
      <w:r w:rsidR="00BF4CEB" w:rsidRPr="00F02042">
        <w:rPr>
          <w:b/>
          <w:lang w:val="en-US"/>
        </w:rPr>
        <w:t xml:space="preserve">prosecutions and </w:t>
      </w:r>
      <w:r w:rsidR="007C3644" w:rsidRPr="00F02042">
        <w:rPr>
          <w:b/>
          <w:lang w:val="en-US"/>
        </w:rPr>
        <w:t xml:space="preserve">the </w:t>
      </w:r>
      <w:r w:rsidR="00BF4CEB" w:rsidRPr="00F02042">
        <w:rPr>
          <w:b/>
          <w:lang w:val="en-US"/>
        </w:rPr>
        <w:t>sentences imposed on perpetrators</w:t>
      </w:r>
      <w:r w:rsidRPr="00F02042">
        <w:rPr>
          <w:b/>
          <w:lang w:val="en-US"/>
        </w:rPr>
        <w:t>.</w:t>
      </w:r>
    </w:p>
    <w:p w14:paraId="23C68E4E" w14:textId="77777777" w:rsidR="00EE6E3F" w:rsidRPr="00380F3B" w:rsidRDefault="00EE6E3F" w:rsidP="00EE6E3F">
      <w:pPr>
        <w:pStyle w:val="H23G"/>
        <w:ind w:firstLine="0"/>
        <w:jc w:val="both"/>
        <w:rPr>
          <w:lang w:val="en-US"/>
        </w:rPr>
      </w:pPr>
      <w:r w:rsidRPr="00380F3B">
        <w:rPr>
          <w:lang w:val="en-US"/>
        </w:rPr>
        <w:t xml:space="preserve">Trafficking and exploitation of prostitution </w:t>
      </w:r>
    </w:p>
    <w:p w14:paraId="70B72814" w14:textId="168897BB" w:rsidR="003C30C7" w:rsidRPr="0098684E" w:rsidRDefault="008B3602" w:rsidP="00F02042">
      <w:pPr>
        <w:pStyle w:val="SingleTxtG"/>
        <w:rPr>
          <w:i/>
          <w:lang w:val="en-US"/>
        </w:rPr>
      </w:pPr>
      <w:r>
        <w:rPr>
          <w:lang w:val="en-US"/>
        </w:rPr>
        <w:t>24</w:t>
      </w:r>
      <w:r w:rsidR="00EE6E3F" w:rsidRPr="005270EF">
        <w:rPr>
          <w:lang w:val="en-US"/>
        </w:rPr>
        <w:t>.</w:t>
      </w:r>
      <w:r w:rsidR="00EE6E3F" w:rsidRPr="005270EF">
        <w:rPr>
          <w:lang w:val="en-US"/>
        </w:rPr>
        <w:tab/>
        <w:t xml:space="preserve">The Committee welcomes the enhanced legal </w:t>
      </w:r>
      <w:r w:rsidR="00D16611">
        <w:rPr>
          <w:lang w:val="en-US"/>
        </w:rPr>
        <w:t xml:space="preserve">and institutional </w:t>
      </w:r>
      <w:r w:rsidR="00EE6E3F" w:rsidRPr="005270EF">
        <w:rPr>
          <w:lang w:val="en-US"/>
        </w:rPr>
        <w:t xml:space="preserve">framework </w:t>
      </w:r>
      <w:r w:rsidR="007C3644">
        <w:rPr>
          <w:lang w:val="en-US"/>
        </w:rPr>
        <w:t>of the State party to</w:t>
      </w:r>
      <w:r w:rsidR="00EE6E3F" w:rsidRPr="005270EF">
        <w:rPr>
          <w:lang w:val="en-US"/>
        </w:rPr>
        <w:t xml:space="preserve"> </w:t>
      </w:r>
      <w:r w:rsidR="00EE6E3F" w:rsidRPr="005270EF">
        <w:t xml:space="preserve">combat </w:t>
      </w:r>
      <w:r w:rsidR="00EE6E3F">
        <w:t xml:space="preserve">human </w:t>
      </w:r>
      <w:r w:rsidR="00EE6E3F" w:rsidRPr="005270EF">
        <w:t xml:space="preserve">trafficking, including </w:t>
      </w:r>
      <w:r w:rsidR="00D16611">
        <w:t xml:space="preserve">the </w:t>
      </w:r>
      <w:r w:rsidR="00EE6E3F" w:rsidRPr="005270EF">
        <w:t>establish</w:t>
      </w:r>
      <w:r w:rsidR="00D16611">
        <w:t xml:space="preserve">ment of </w:t>
      </w:r>
      <w:r w:rsidR="00EE6E3F" w:rsidRPr="005270EF">
        <w:t xml:space="preserve">the </w:t>
      </w:r>
      <w:r w:rsidR="00223669" w:rsidRPr="005270EF">
        <w:t xml:space="preserve">National Coordinating Committee </w:t>
      </w:r>
      <w:r w:rsidR="00223669">
        <w:t xml:space="preserve">and the </w:t>
      </w:r>
      <w:r w:rsidR="00EE6E3F" w:rsidRPr="005270EF">
        <w:t>National Agency for Combating Traffick</w:t>
      </w:r>
      <w:r w:rsidR="00223669">
        <w:t>ing in Persons</w:t>
      </w:r>
      <w:r w:rsidR="00A968D7">
        <w:t>, respectively,</w:t>
      </w:r>
      <w:r w:rsidR="00223669">
        <w:t xml:space="preserve"> </w:t>
      </w:r>
      <w:r w:rsidR="00D16611" w:rsidRPr="00D16611">
        <w:t>and</w:t>
      </w:r>
      <w:r w:rsidR="003F24C2">
        <w:t xml:space="preserve"> </w:t>
      </w:r>
      <w:r w:rsidR="007C3644">
        <w:t xml:space="preserve">the </w:t>
      </w:r>
      <w:r w:rsidR="003F24C2">
        <w:t>associated</w:t>
      </w:r>
      <w:r w:rsidR="00A968D7">
        <w:rPr>
          <w:lang w:val="en-US"/>
        </w:rPr>
        <w:t xml:space="preserve"> action p</w:t>
      </w:r>
      <w:r w:rsidR="00EE6E3F">
        <w:rPr>
          <w:lang w:val="en-US"/>
        </w:rPr>
        <w:t xml:space="preserve">lan (2014-2018). </w:t>
      </w:r>
      <w:r w:rsidR="00A968D7">
        <w:rPr>
          <w:lang w:val="en-US"/>
        </w:rPr>
        <w:t>T</w:t>
      </w:r>
      <w:r w:rsidR="00EE6E3F">
        <w:rPr>
          <w:lang w:val="en-US"/>
        </w:rPr>
        <w:t xml:space="preserve">he Committee </w:t>
      </w:r>
      <w:r w:rsidR="00A968D7">
        <w:rPr>
          <w:lang w:val="en-US"/>
        </w:rPr>
        <w:t>notes</w:t>
      </w:r>
      <w:r w:rsidR="00EE6E3F">
        <w:rPr>
          <w:lang w:val="en-US"/>
        </w:rPr>
        <w:t xml:space="preserve"> </w:t>
      </w:r>
      <w:r w:rsidR="007C3644">
        <w:rPr>
          <w:lang w:val="en-US"/>
        </w:rPr>
        <w:t xml:space="preserve">with concern </w:t>
      </w:r>
      <w:r w:rsidR="003F24C2">
        <w:rPr>
          <w:lang w:val="en-US"/>
        </w:rPr>
        <w:t>t</w:t>
      </w:r>
      <w:r w:rsidR="00D16611">
        <w:rPr>
          <w:lang w:val="en-US"/>
        </w:rPr>
        <w:t xml:space="preserve">hat </w:t>
      </w:r>
      <w:r w:rsidR="00EE6E3F">
        <w:rPr>
          <w:lang w:val="en-US"/>
        </w:rPr>
        <w:t xml:space="preserve">the State party </w:t>
      </w:r>
      <w:r w:rsidR="007C3644">
        <w:rPr>
          <w:lang w:val="en-US"/>
        </w:rPr>
        <w:t>remains</w:t>
      </w:r>
      <w:r w:rsidR="00EE6E3F">
        <w:rPr>
          <w:lang w:val="en-US"/>
        </w:rPr>
        <w:t xml:space="preserve"> a country of origin, transit and destination for human trafficking</w:t>
      </w:r>
      <w:r w:rsidR="00F82EF8">
        <w:rPr>
          <w:lang w:val="en-US"/>
        </w:rPr>
        <w:t xml:space="preserve"> and that victims are vulnerable to</w:t>
      </w:r>
      <w:r w:rsidR="00EE6E3F" w:rsidRPr="000D5BE3">
        <w:rPr>
          <w:lang w:val="en-US"/>
        </w:rPr>
        <w:t xml:space="preserve"> sexual exploitation, forced marriage and forced labour</w:t>
      </w:r>
      <w:r w:rsidR="00D16611" w:rsidRPr="000D5BE3">
        <w:rPr>
          <w:lang w:val="en-US"/>
        </w:rPr>
        <w:t xml:space="preserve">. </w:t>
      </w:r>
      <w:r w:rsidR="00A968D7" w:rsidRPr="000D5BE3">
        <w:rPr>
          <w:lang w:val="en-US"/>
        </w:rPr>
        <w:t xml:space="preserve">It </w:t>
      </w:r>
      <w:r w:rsidR="007C3644" w:rsidRPr="000D5BE3">
        <w:rPr>
          <w:lang w:val="en-US"/>
        </w:rPr>
        <w:t>notes with</w:t>
      </w:r>
      <w:r w:rsidR="00A968D7" w:rsidRPr="000D5BE3">
        <w:rPr>
          <w:lang w:val="en-US"/>
        </w:rPr>
        <w:t xml:space="preserve"> concern</w:t>
      </w:r>
      <w:r w:rsidR="000D5BE3" w:rsidRPr="000D5BE3">
        <w:rPr>
          <w:lang w:val="en-US"/>
        </w:rPr>
        <w:t xml:space="preserve"> t</w:t>
      </w:r>
      <w:r w:rsidR="007C3644" w:rsidRPr="000D5BE3">
        <w:rPr>
          <w:lang w:val="en-US"/>
        </w:rPr>
        <w:t>he l</w:t>
      </w:r>
      <w:r w:rsidR="003C30C7" w:rsidRPr="000D5BE3">
        <w:rPr>
          <w:lang w:val="en-US"/>
        </w:rPr>
        <w:t xml:space="preserve">ow prosecution and conviction </w:t>
      </w:r>
      <w:r w:rsidR="007C3644" w:rsidRPr="000D5BE3">
        <w:rPr>
          <w:lang w:val="en-US"/>
        </w:rPr>
        <w:t xml:space="preserve">rates </w:t>
      </w:r>
      <w:r w:rsidR="003C30C7" w:rsidRPr="000D5BE3">
        <w:rPr>
          <w:lang w:val="en-US"/>
        </w:rPr>
        <w:t>in cases of</w:t>
      </w:r>
      <w:r w:rsidR="000D5BE3" w:rsidRPr="000D5BE3">
        <w:rPr>
          <w:lang w:val="en-US"/>
        </w:rPr>
        <w:t xml:space="preserve"> trafficking in women and girls and t</w:t>
      </w:r>
      <w:r w:rsidR="007C3644" w:rsidRPr="000D5BE3">
        <w:rPr>
          <w:lang w:val="en-US"/>
        </w:rPr>
        <w:t>he l</w:t>
      </w:r>
      <w:r w:rsidR="003C30C7" w:rsidRPr="000D5BE3">
        <w:rPr>
          <w:lang w:val="en-US"/>
        </w:rPr>
        <w:t xml:space="preserve">ack of adequate mechanisms to identify and refer victims of trafficking </w:t>
      </w:r>
      <w:r w:rsidR="007C3644" w:rsidRPr="000D5BE3">
        <w:rPr>
          <w:lang w:val="en-US"/>
        </w:rPr>
        <w:t>to appropriate services such as</w:t>
      </w:r>
      <w:r w:rsidR="003C30C7" w:rsidRPr="000D5BE3">
        <w:rPr>
          <w:lang w:val="en-US"/>
        </w:rPr>
        <w:t xml:space="preserve"> systematic rehabilitation and reintegration, including access to counselling, medical treatment, psychological support and redress, including compensati</w:t>
      </w:r>
      <w:r w:rsidR="00C57B82" w:rsidRPr="000D5BE3">
        <w:rPr>
          <w:lang w:val="en-US"/>
        </w:rPr>
        <w:t>on</w:t>
      </w:r>
      <w:r w:rsidR="000D5BE3" w:rsidRPr="000D5BE3">
        <w:rPr>
          <w:lang w:val="en-US"/>
        </w:rPr>
        <w:t>.</w:t>
      </w:r>
    </w:p>
    <w:p w14:paraId="5804BA11" w14:textId="77777777" w:rsidR="00EE6E3F" w:rsidRPr="00F02042" w:rsidRDefault="008B3602" w:rsidP="00F02042">
      <w:pPr>
        <w:pStyle w:val="SingleTxtG"/>
        <w:rPr>
          <w:b/>
          <w:lang w:val="en-US"/>
        </w:rPr>
      </w:pPr>
      <w:r w:rsidRPr="00F02042">
        <w:rPr>
          <w:lang w:val="en-US"/>
        </w:rPr>
        <w:t>25</w:t>
      </w:r>
      <w:r w:rsidR="00EE6E3F" w:rsidRPr="00F02042">
        <w:rPr>
          <w:lang w:val="en-US"/>
        </w:rPr>
        <w:t>.</w:t>
      </w:r>
      <w:r w:rsidR="00EE6E3F" w:rsidRPr="00F02042">
        <w:rPr>
          <w:lang w:val="en-US"/>
        </w:rPr>
        <w:tab/>
      </w:r>
      <w:r w:rsidR="00EE6E3F" w:rsidRPr="00F02042">
        <w:rPr>
          <w:b/>
          <w:lang w:val="en-US"/>
        </w:rPr>
        <w:t>The Committee draws attention to Sustainable Development Goal 5.2, to eliminate all forms of violence against all women and girls in the public and private spheres, including trafficking and sexual and other types of exploitation, and recommends that the State party:</w:t>
      </w:r>
    </w:p>
    <w:p w14:paraId="48630B59" w14:textId="54149128" w:rsidR="002A04D2" w:rsidRPr="00F02042" w:rsidRDefault="00EE6E3F" w:rsidP="00F02042">
      <w:pPr>
        <w:pStyle w:val="SingleTxtG"/>
        <w:rPr>
          <w:b/>
          <w:lang w:val="en-US"/>
        </w:rPr>
      </w:pPr>
      <w:r w:rsidRPr="00F02042">
        <w:rPr>
          <w:b/>
          <w:lang w:val="en-US"/>
        </w:rPr>
        <w:tab/>
      </w:r>
      <w:r w:rsidR="002A04D2" w:rsidRPr="00F02042">
        <w:rPr>
          <w:b/>
          <w:lang w:val="en-US"/>
        </w:rPr>
        <w:t>(a)</w:t>
      </w:r>
      <w:r w:rsidR="002A04D2" w:rsidRPr="00F02042">
        <w:rPr>
          <w:b/>
          <w:lang w:val="en-US"/>
        </w:rPr>
        <w:tab/>
        <w:t xml:space="preserve">Finalize and adopt the draft decrees on the organization, allotment and functioning of special compensation for victims and witnesses </w:t>
      </w:r>
      <w:r w:rsidR="000A702D" w:rsidRPr="00F02042">
        <w:rPr>
          <w:b/>
          <w:lang w:val="en-US"/>
        </w:rPr>
        <w:t>of</w:t>
      </w:r>
      <w:r w:rsidR="002A04D2" w:rsidRPr="00F02042">
        <w:rPr>
          <w:b/>
          <w:lang w:val="en-US"/>
        </w:rPr>
        <w:t xml:space="preserve"> human trafficking, as well as on the creation of a shelter for victims and witnesses</w:t>
      </w:r>
      <w:r w:rsidR="00261879" w:rsidRPr="00F02042">
        <w:rPr>
          <w:b/>
          <w:lang w:val="en-US"/>
        </w:rPr>
        <w:t>;</w:t>
      </w:r>
    </w:p>
    <w:p w14:paraId="1AB721C3" w14:textId="23E1C90B" w:rsidR="00EE6E3F" w:rsidRPr="00F02042" w:rsidRDefault="002A04D2" w:rsidP="00F02042">
      <w:pPr>
        <w:pStyle w:val="SingleTxtG"/>
        <w:rPr>
          <w:b/>
          <w:lang w:val="en-US"/>
        </w:rPr>
      </w:pPr>
      <w:r w:rsidRPr="00F02042">
        <w:rPr>
          <w:b/>
          <w:lang w:val="en-US"/>
        </w:rPr>
        <w:tab/>
        <w:t>(b)</w:t>
      </w:r>
      <w:r w:rsidRPr="00F02042">
        <w:rPr>
          <w:b/>
          <w:lang w:val="en-US"/>
        </w:rPr>
        <w:tab/>
        <w:t xml:space="preserve">Investigate, prosecute and adequately punish </w:t>
      </w:r>
      <w:r w:rsidR="000A702D" w:rsidRPr="00F02042">
        <w:rPr>
          <w:b/>
          <w:lang w:val="en-US"/>
        </w:rPr>
        <w:t>perpetrators</w:t>
      </w:r>
      <w:r w:rsidRPr="00F02042">
        <w:rPr>
          <w:b/>
          <w:lang w:val="en-US"/>
        </w:rPr>
        <w:t xml:space="preserve"> of trafficking</w:t>
      </w:r>
      <w:r w:rsidR="000A702D" w:rsidRPr="00F02042">
        <w:rPr>
          <w:b/>
          <w:lang w:val="en-US"/>
        </w:rPr>
        <w:t xml:space="preserve"> in persons</w:t>
      </w:r>
      <w:r w:rsidRPr="00F02042">
        <w:rPr>
          <w:b/>
          <w:lang w:val="en-US"/>
        </w:rPr>
        <w:t>,</w:t>
      </w:r>
      <w:r w:rsidR="00CD75E9">
        <w:rPr>
          <w:b/>
          <w:lang w:val="en-US"/>
        </w:rPr>
        <w:t xml:space="preserve"> including migrants, and</w:t>
      </w:r>
      <w:r w:rsidRPr="00F02042">
        <w:rPr>
          <w:b/>
          <w:lang w:val="en-US"/>
        </w:rPr>
        <w:t xml:space="preserve"> especially </w:t>
      </w:r>
      <w:r w:rsidR="00261879" w:rsidRPr="00F02042">
        <w:rPr>
          <w:b/>
          <w:lang w:val="en-US"/>
        </w:rPr>
        <w:t xml:space="preserve">women and girls, </w:t>
      </w:r>
      <w:r w:rsidR="000A702D" w:rsidRPr="00F02042">
        <w:rPr>
          <w:b/>
          <w:lang w:val="en-US"/>
        </w:rPr>
        <w:t xml:space="preserve">and related crimes, </w:t>
      </w:r>
      <w:r w:rsidR="00261879" w:rsidRPr="00F02042">
        <w:rPr>
          <w:b/>
          <w:lang w:val="en-US"/>
        </w:rPr>
        <w:t>ensuring that victims of trafficking and exploitation of prostitution are exempted from any liability and provided with adequate protection and redress;</w:t>
      </w:r>
    </w:p>
    <w:p w14:paraId="7E96F3CD" w14:textId="679A0824" w:rsidR="00261879" w:rsidRPr="00F02042" w:rsidRDefault="00EE6E3F" w:rsidP="00F02042">
      <w:pPr>
        <w:pStyle w:val="SingleTxtG"/>
        <w:rPr>
          <w:b/>
          <w:lang w:val="en-US"/>
        </w:rPr>
      </w:pPr>
      <w:r w:rsidRPr="00F02042">
        <w:rPr>
          <w:b/>
          <w:lang w:val="en-US"/>
        </w:rPr>
        <w:tab/>
        <w:t>(c)</w:t>
      </w:r>
      <w:r w:rsidRPr="00F02042">
        <w:rPr>
          <w:b/>
          <w:lang w:val="en-US"/>
        </w:rPr>
        <w:tab/>
        <w:t>Provide continu</w:t>
      </w:r>
      <w:r w:rsidR="000A702D" w:rsidRPr="00F02042">
        <w:rPr>
          <w:b/>
          <w:lang w:val="en-US"/>
        </w:rPr>
        <w:t>ous</w:t>
      </w:r>
      <w:r w:rsidRPr="00F02042">
        <w:rPr>
          <w:b/>
          <w:lang w:val="en-US"/>
        </w:rPr>
        <w:t xml:space="preserve"> </w:t>
      </w:r>
      <w:r w:rsidR="000A702D" w:rsidRPr="00F02042">
        <w:rPr>
          <w:b/>
          <w:lang w:val="en-US"/>
        </w:rPr>
        <w:t xml:space="preserve">mandatory </w:t>
      </w:r>
      <w:r w:rsidRPr="00F02042">
        <w:rPr>
          <w:b/>
          <w:lang w:val="en-US"/>
        </w:rPr>
        <w:t>capacity-building for law enforcement officers on the early identification and referral of</w:t>
      </w:r>
      <w:r w:rsidR="000A702D" w:rsidRPr="00F02042">
        <w:rPr>
          <w:b/>
          <w:lang w:val="en-US"/>
        </w:rPr>
        <w:t xml:space="preserve"> trafficking victims to appropriate services</w:t>
      </w:r>
      <w:r w:rsidRPr="00F02042">
        <w:rPr>
          <w:b/>
          <w:lang w:val="en-US"/>
        </w:rPr>
        <w:t>, assistance and rehabil</w:t>
      </w:r>
      <w:r w:rsidR="00261879" w:rsidRPr="00F02042">
        <w:rPr>
          <w:b/>
          <w:lang w:val="en-US"/>
        </w:rPr>
        <w:t xml:space="preserve">itation, </w:t>
      </w:r>
      <w:r w:rsidR="000A702D" w:rsidRPr="00F02042">
        <w:rPr>
          <w:b/>
          <w:lang w:val="en-US"/>
        </w:rPr>
        <w:t>and</w:t>
      </w:r>
      <w:r w:rsidR="00261879" w:rsidRPr="00F02042">
        <w:rPr>
          <w:b/>
          <w:lang w:val="en-US"/>
        </w:rPr>
        <w:t xml:space="preserve"> nationwide education and awareness-raising campaigns about the risks and criminal nature of trafficking;</w:t>
      </w:r>
      <w:r w:rsidR="00F02042" w:rsidRPr="00F02042">
        <w:rPr>
          <w:b/>
          <w:lang w:val="en-US"/>
        </w:rPr>
        <w:t xml:space="preserve"> </w:t>
      </w:r>
    </w:p>
    <w:p w14:paraId="001407FF" w14:textId="5CD5FB4E" w:rsidR="00261879" w:rsidRPr="00F02042" w:rsidRDefault="00261879" w:rsidP="00F02042">
      <w:pPr>
        <w:pStyle w:val="SingleTxtG"/>
        <w:rPr>
          <w:b/>
          <w:lang w:val="en-US"/>
        </w:rPr>
      </w:pPr>
      <w:r w:rsidRPr="00F02042">
        <w:rPr>
          <w:b/>
          <w:lang w:val="en-US"/>
        </w:rPr>
        <w:tab/>
        <w:t>(d)</w:t>
      </w:r>
      <w:r w:rsidRPr="00F02042">
        <w:rPr>
          <w:b/>
          <w:lang w:val="en-US"/>
        </w:rPr>
        <w:tab/>
      </w:r>
      <w:r w:rsidR="000A702D" w:rsidRPr="00F02042">
        <w:rPr>
          <w:b/>
          <w:lang w:val="en-US"/>
        </w:rPr>
        <w:t>Ensure that</w:t>
      </w:r>
      <w:r w:rsidRPr="00F02042">
        <w:rPr>
          <w:b/>
          <w:lang w:val="en-US"/>
        </w:rPr>
        <w:t xml:space="preserve"> victims of trafficking </w:t>
      </w:r>
      <w:r w:rsidR="000A702D" w:rsidRPr="00F02042">
        <w:rPr>
          <w:b/>
          <w:lang w:val="en-US"/>
        </w:rPr>
        <w:t>have</w:t>
      </w:r>
      <w:r w:rsidRPr="00F02042">
        <w:rPr>
          <w:b/>
          <w:lang w:val="en-US"/>
        </w:rPr>
        <w:t xml:space="preserve"> adequate access to health care and counselling, strengthen the human, technical and financial resources of social work centres</w:t>
      </w:r>
      <w:r w:rsidR="000A702D" w:rsidRPr="00F02042">
        <w:rPr>
          <w:b/>
          <w:lang w:val="en-US"/>
        </w:rPr>
        <w:t>,</w:t>
      </w:r>
      <w:r w:rsidRPr="00F02042">
        <w:rPr>
          <w:b/>
          <w:lang w:val="en-US"/>
        </w:rPr>
        <w:t xml:space="preserve"> and provide targeted training for social workers dealing with victims of trafficking; </w:t>
      </w:r>
    </w:p>
    <w:p w14:paraId="1B837351" w14:textId="2CF8FB98" w:rsidR="00261879" w:rsidRPr="00F02042" w:rsidRDefault="00261879" w:rsidP="00F02042">
      <w:pPr>
        <w:pStyle w:val="SingleTxtG"/>
        <w:rPr>
          <w:b/>
          <w:lang w:val="en-US"/>
        </w:rPr>
      </w:pPr>
      <w:r w:rsidRPr="00F02042">
        <w:rPr>
          <w:b/>
          <w:lang w:val="en-US"/>
        </w:rPr>
        <w:tab/>
        <w:t>(e)</w:t>
      </w:r>
      <w:r w:rsidRPr="00F02042">
        <w:rPr>
          <w:b/>
          <w:lang w:val="en-US"/>
        </w:rPr>
        <w:tab/>
        <w:t xml:space="preserve">Address the root causes of trafficking and exploitation of women and girls in prostitution by </w:t>
      </w:r>
      <w:r w:rsidR="000A702D" w:rsidRPr="00F02042">
        <w:rPr>
          <w:b/>
          <w:lang w:val="en-US"/>
        </w:rPr>
        <w:t>offering educational and alternative income opportunities to</w:t>
      </w:r>
      <w:r w:rsidRPr="00F02042">
        <w:rPr>
          <w:b/>
          <w:lang w:val="en-US"/>
        </w:rPr>
        <w:t xml:space="preserve"> women who are at risk of being trafficked or exploited in prostitution</w:t>
      </w:r>
      <w:r w:rsidR="000A702D" w:rsidRPr="00F02042">
        <w:rPr>
          <w:b/>
          <w:lang w:val="en-US"/>
        </w:rPr>
        <w:t xml:space="preserve"> as well as exit programmes for women in prostitution</w:t>
      </w:r>
      <w:r w:rsidRPr="00F02042">
        <w:rPr>
          <w:b/>
          <w:lang w:val="en-US"/>
        </w:rPr>
        <w:t xml:space="preserve">; </w:t>
      </w:r>
      <w:r w:rsidR="000F136B" w:rsidRPr="00F02042">
        <w:rPr>
          <w:b/>
          <w:lang w:val="en-US"/>
        </w:rPr>
        <w:t>and,</w:t>
      </w:r>
    </w:p>
    <w:p w14:paraId="1CEBAE51" w14:textId="77D628F1" w:rsidR="00C57B82" w:rsidRPr="00F02042" w:rsidRDefault="002A04D2" w:rsidP="00F02042">
      <w:pPr>
        <w:pStyle w:val="SingleTxtG"/>
        <w:rPr>
          <w:b/>
          <w:lang w:val="en-US"/>
        </w:rPr>
      </w:pPr>
      <w:r w:rsidRPr="00F02042">
        <w:rPr>
          <w:b/>
          <w:lang w:val="en-US"/>
        </w:rPr>
        <w:tab/>
        <w:t>(</w:t>
      </w:r>
      <w:r w:rsidR="00261879" w:rsidRPr="00F02042">
        <w:rPr>
          <w:b/>
          <w:lang w:val="en-US"/>
        </w:rPr>
        <w:t>f</w:t>
      </w:r>
      <w:r w:rsidR="00EE6E3F" w:rsidRPr="00F02042">
        <w:rPr>
          <w:b/>
          <w:lang w:val="en-US"/>
        </w:rPr>
        <w:t>)</w:t>
      </w:r>
      <w:r w:rsidR="00EE6E3F" w:rsidRPr="00F02042">
        <w:rPr>
          <w:b/>
          <w:lang w:val="en-US"/>
        </w:rPr>
        <w:tab/>
        <w:t>Systematically collect sex-disaggregated data on exploitation of prostitution and trafficki</w:t>
      </w:r>
      <w:r w:rsidR="00C57B82" w:rsidRPr="00F02042">
        <w:rPr>
          <w:b/>
          <w:lang w:val="en-US"/>
        </w:rPr>
        <w:t xml:space="preserve">ng in women and girls, including on the number of investigations, prosecutions, convictions and </w:t>
      </w:r>
      <w:r w:rsidR="00BB7836" w:rsidRPr="00F02042">
        <w:rPr>
          <w:b/>
          <w:lang w:val="en-US"/>
        </w:rPr>
        <w:t>the sentences imposed on perpetrators</w:t>
      </w:r>
      <w:r w:rsidR="00C57B82" w:rsidRPr="00F02042">
        <w:rPr>
          <w:b/>
          <w:lang w:val="en-US"/>
        </w:rPr>
        <w:t>.</w:t>
      </w:r>
    </w:p>
    <w:p w14:paraId="188B09E8" w14:textId="77777777" w:rsidR="00EE6E3F" w:rsidRPr="00155AC9" w:rsidRDefault="00EE6E3F" w:rsidP="00EE6E3F">
      <w:pPr>
        <w:pStyle w:val="H23G"/>
        <w:ind w:firstLine="0"/>
        <w:jc w:val="both"/>
        <w:rPr>
          <w:lang w:val="en-US"/>
        </w:rPr>
      </w:pPr>
      <w:r w:rsidRPr="00155AC9">
        <w:rPr>
          <w:lang w:val="en-US"/>
        </w:rPr>
        <w:t>Participation in political and public life</w:t>
      </w:r>
    </w:p>
    <w:p w14:paraId="2907D0C4" w14:textId="6FBD4E41" w:rsidR="00BA67A5" w:rsidRPr="00F24AED" w:rsidRDefault="008B3602" w:rsidP="00F02042">
      <w:pPr>
        <w:pStyle w:val="SingleTxtG"/>
        <w:rPr>
          <w:b/>
          <w:lang w:val="en-US"/>
        </w:rPr>
      </w:pPr>
      <w:r>
        <w:rPr>
          <w:lang w:val="en-US"/>
        </w:rPr>
        <w:t>26</w:t>
      </w:r>
      <w:r w:rsidR="00EE6E3F" w:rsidRPr="006A79F4">
        <w:rPr>
          <w:lang w:val="en-US"/>
        </w:rPr>
        <w:t>.</w:t>
      </w:r>
      <w:r w:rsidR="00EE6E3F" w:rsidRPr="006A79F4">
        <w:rPr>
          <w:lang w:val="en-US"/>
        </w:rPr>
        <w:tab/>
      </w:r>
      <w:r w:rsidR="00CD75E9" w:rsidRPr="00F66599">
        <w:rPr>
          <w:lang w:val="en-US"/>
        </w:rPr>
        <w:t>The Committee welcomes the State party’s efforts in applying special measures with regard to women’s political participation</w:t>
      </w:r>
      <w:r w:rsidR="00CD75E9">
        <w:rPr>
          <w:lang w:val="en-US"/>
        </w:rPr>
        <w:t xml:space="preserve"> and representation in national government bodies through</w:t>
      </w:r>
      <w:r w:rsidR="00CD75E9" w:rsidRPr="00F66599">
        <w:rPr>
          <w:lang w:val="en-US"/>
        </w:rPr>
        <w:t xml:space="preserve"> the </w:t>
      </w:r>
      <w:r w:rsidR="00CD75E9" w:rsidRPr="004677DC">
        <w:t>Quota Act No. 2000-008</w:t>
      </w:r>
      <w:r w:rsidR="00CD75E9">
        <w:t xml:space="preserve"> (amended </w:t>
      </w:r>
      <w:r w:rsidR="00CD75E9" w:rsidRPr="004677DC">
        <w:t>in 2014</w:t>
      </w:r>
      <w:r w:rsidR="00CD75E9">
        <w:t>)</w:t>
      </w:r>
      <w:r w:rsidR="00F66599" w:rsidRPr="004677DC">
        <w:t>, rais</w:t>
      </w:r>
      <w:r w:rsidR="00F24AED">
        <w:t>ing</w:t>
      </w:r>
      <w:r w:rsidR="00F66599" w:rsidRPr="004677DC">
        <w:t xml:space="preserve"> the quota for both sexes in elected </w:t>
      </w:r>
      <w:r w:rsidR="00BB7836">
        <w:t>office</w:t>
      </w:r>
      <w:r w:rsidR="00F66599">
        <w:t xml:space="preserve"> </w:t>
      </w:r>
      <w:r w:rsidR="00F66599" w:rsidRPr="004677DC">
        <w:t>from 10 to 15 per cent</w:t>
      </w:r>
      <w:r w:rsidR="008A3A6A">
        <w:t>.</w:t>
      </w:r>
      <w:r w:rsidR="00F66599">
        <w:t xml:space="preserve"> However, </w:t>
      </w:r>
      <w:r w:rsidR="00F24AED">
        <w:t>it</w:t>
      </w:r>
      <w:r w:rsidR="00F66599">
        <w:t xml:space="preserve"> is concerned </w:t>
      </w:r>
      <w:r w:rsidR="00F24AED">
        <w:t>about</w:t>
      </w:r>
      <w:r w:rsidR="00F66599">
        <w:t xml:space="preserve"> </w:t>
      </w:r>
      <w:r w:rsidR="00F66599" w:rsidRPr="000B61C6">
        <w:t>th</w:t>
      </w:r>
      <w:r w:rsidR="00F24AED">
        <w:t xml:space="preserve">e </w:t>
      </w:r>
      <w:r w:rsidR="005C582C">
        <w:t>weak</w:t>
      </w:r>
      <w:r w:rsidR="00F66599" w:rsidRPr="000B61C6">
        <w:t xml:space="preserve"> implement</w:t>
      </w:r>
      <w:r w:rsidR="00F24AED">
        <w:t>ation</w:t>
      </w:r>
      <w:r w:rsidR="00BB7836">
        <w:t xml:space="preserve"> of the Act,</w:t>
      </w:r>
      <w:r w:rsidR="00F66599" w:rsidRPr="000B61C6">
        <w:t xml:space="preserve"> </w:t>
      </w:r>
      <w:r w:rsidR="00BB7836">
        <w:t>women’s</w:t>
      </w:r>
      <w:r w:rsidR="00F24AED">
        <w:t xml:space="preserve"> low </w:t>
      </w:r>
      <w:r w:rsidR="00F66599">
        <w:rPr>
          <w:lang w:val="en-US"/>
        </w:rPr>
        <w:t>representation in</w:t>
      </w:r>
      <w:r w:rsidR="00F66599" w:rsidRPr="000B61C6">
        <w:rPr>
          <w:lang w:val="en-US"/>
        </w:rPr>
        <w:t xml:space="preserve"> </w:t>
      </w:r>
      <w:r w:rsidR="00BB7836">
        <w:rPr>
          <w:lang w:val="en-US"/>
        </w:rPr>
        <w:t>Parliament (1</w:t>
      </w:r>
      <w:r w:rsidR="00041A5B">
        <w:rPr>
          <w:lang w:val="en-US"/>
        </w:rPr>
        <w:t>6</w:t>
      </w:r>
      <w:r w:rsidR="00BB7836">
        <w:rPr>
          <w:lang w:val="en-US"/>
        </w:rPr>
        <w:t xml:space="preserve"> percent)</w:t>
      </w:r>
      <w:r w:rsidR="00D7296E">
        <w:rPr>
          <w:lang w:val="en-US"/>
        </w:rPr>
        <w:t>,</w:t>
      </w:r>
      <w:r w:rsidR="008A3A6A">
        <w:rPr>
          <w:lang w:val="en-US"/>
        </w:rPr>
        <w:t xml:space="preserve"> </w:t>
      </w:r>
      <w:r w:rsidR="00041A5B">
        <w:rPr>
          <w:lang w:val="en-US"/>
        </w:rPr>
        <w:t xml:space="preserve">as regional, municipal and town councilors </w:t>
      </w:r>
      <w:r w:rsidR="00BB7836">
        <w:rPr>
          <w:lang w:val="en-US"/>
        </w:rPr>
        <w:t>(1</w:t>
      </w:r>
      <w:r w:rsidR="00041A5B">
        <w:rPr>
          <w:lang w:val="en-US"/>
        </w:rPr>
        <w:t>2</w:t>
      </w:r>
      <w:r w:rsidR="00BB7836">
        <w:rPr>
          <w:lang w:val="en-US"/>
        </w:rPr>
        <w:t xml:space="preserve"> percent)</w:t>
      </w:r>
      <w:r w:rsidR="00F24AED">
        <w:rPr>
          <w:lang w:val="en-US"/>
        </w:rPr>
        <w:t xml:space="preserve"> </w:t>
      </w:r>
      <w:r w:rsidR="005C582C">
        <w:rPr>
          <w:lang w:val="en-US"/>
        </w:rPr>
        <w:t>and</w:t>
      </w:r>
      <w:r w:rsidR="00F24AED">
        <w:rPr>
          <w:lang w:val="en-US"/>
        </w:rPr>
        <w:t xml:space="preserve"> </w:t>
      </w:r>
      <w:r w:rsidR="00BB7836">
        <w:rPr>
          <w:lang w:val="en-US"/>
        </w:rPr>
        <w:t>the absence of women</w:t>
      </w:r>
      <w:r w:rsidR="00F24AED">
        <w:rPr>
          <w:lang w:val="en-US"/>
        </w:rPr>
        <w:t xml:space="preserve"> </w:t>
      </w:r>
      <w:r w:rsidR="005C582C">
        <w:rPr>
          <w:lang w:val="en-US"/>
        </w:rPr>
        <w:t>Governor</w:t>
      </w:r>
      <w:r w:rsidR="00BB7836">
        <w:rPr>
          <w:lang w:val="en-US"/>
        </w:rPr>
        <w:t>s</w:t>
      </w:r>
      <w:r w:rsidR="00F24AED">
        <w:rPr>
          <w:lang w:val="en-US"/>
        </w:rPr>
        <w:t xml:space="preserve"> or Prefect</w:t>
      </w:r>
      <w:r w:rsidR="00BB7836">
        <w:rPr>
          <w:lang w:val="en-US"/>
        </w:rPr>
        <w:t>s</w:t>
      </w:r>
      <w:r w:rsidR="00F24AED">
        <w:rPr>
          <w:lang w:val="en-US"/>
        </w:rPr>
        <w:t>.</w:t>
      </w:r>
      <w:r w:rsidR="005C582C">
        <w:rPr>
          <w:lang w:val="en-US"/>
        </w:rPr>
        <w:t xml:space="preserve"> Despite </w:t>
      </w:r>
      <w:r w:rsidR="008A3A6A">
        <w:rPr>
          <w:lang w:val="en-US"/>
        </w:rPr>
        <w:t>the Q</w:t>
      </w:r>
      <w:r w:rsidR="00F66599">
        <w:rPr>
          <w:lang w:val="en-US"/>
        </w:rPr>
        <w:t xml:space="preserve">uota </w:t>
      </w:r>
      <w:r w:rsidR="008A3A6A">
        <w:rPr>
          <w:lang w:val="en-US"/>
        </w:rPr>
        <w:t>Act</w:t>
      </w:r>
      <w:r w:rsidR="00F66599">
        <w:rPr>
          <w:lang w:val="en-US"/>
        </w:rPr>
        <w:t xml:space="preserve"> </w:t>
      </w:r>
      <w:r w:rsidR="008A3A6A">
        <w:rPr>
          <w:lang w:val="en-US"/>
        </w:rPr>
        <w:t>requiring</w:t>
      </w:r>
      <w:r w:rsidR="00F66599">
        <w:rPr>
          <w:lang w:val="en-US"/>
        </w:rPr>
        <w:t xml:space="preserve"> </w:t>
      </w:r>
      <w:r w:rsidR="005C582C">
        <w:rPr>
          <w:lang w:val="en-US"/>
        </w:rPr>
        <w:t>a minimum of</w:t>
      </w:r>
      <w:r w:rsidR="00F66599">
        <w:rPr>
          <w:lang w:val="en-US"/>
        </w:rPr>
        <w:t xml:space="preserve"> 25% </w:t>
      </w:r>
      <w:r w:rsidR="00BB7836">
        <w:rPr>
          <w:lang w:val="en-US"/>
        </w:rPr>
        <w:t>of either sex in</w:t>
      </w:r>
      <w:r w:rsidR="00F66599">
        <w:rPr>
          <w:lang w:val="en-US"/>
        </w:rPr>
        <w:t xml:space="preserve"> high-ranking government posts</w:t>
      </w:r>
      <w:r w:rsidR="005C582C">
        <w:rPr>
          <w:lang w:val="en-US"/>
        </w:rPr>
        <w:t>, the Committee notes that only 1</w:t>
      </w:r>
      <w:r w:rsidR="00041A5B">
        <w:rPr>
          <w:lang w:val="en-US"/>
        </w:rPr>
        <w:t>9</w:t>
      </w:r>
      <w:r w:rsidR="005C582C">
        <w:rPr>
          <w:lang w:val="en-US"/>
        </w:rPr>
        <w:t xml:space="preserve">% of </w:t>
      </w:r>
      <w:r w:rsidR="00BB7836">
        <w:rPr>
          <w:lang w:val="en-US"/>
        </w:rPr>
        <w:t>Ministers</w:t>
      </w:r>
      <w:r w:rsidR="005C582C">
        <w:rPr>
          <w:lang w:val="en-US"/>
        </w:rPr>
        <w:t xml:space="preserve"> are women</w:t>
      </w:r>
      <w:r w:rsidR="00D7296E">
        <w:rPr>
          <w:lang w:val="en-US"/>
        </w:rPr>
        <w:t xml:space="preserve"> and that women are underrepresented in decision-making posts in the public service</w:t>
      </w:r>
      <w:r w:rsidR="00F66599">
        <w:rPr>
          <w:lang w:val="en-US"/>
        </w:rPr>
        <w:t xml:space="preserve">. </w:t>
      </w:r>
      <w:r w:rsidR="00F24AED">
        <w:rPr>
          <w:lang w:val="en-US"/>
        </w:rPr>
        <w:t xml:space="preserve">It </w:t>
      </w:r>
      <w:r w:rsidR="005C582C">
        <w:rPr>
          <w:lang w:val="en-US"/>
        </w:rPr>
        <w:t xml:space="preserve">further </w:t>
      </w:r>
      <w:r w:rsidR="00F24AED">
        <w:rPr>
          <w:lang w:val="en-US"/>
        </w:rPr>
        <w:t xml:space="preserve">notes with concern </w:t>
      </w:r>
      <w:r w:rsidR="00BB7836">
        <w:rPr>
          <w:lang w:val="en-US"/>
        </w:rPr>
        <w:t>that women are excluded</w:t>
      </w:r>
      <w:r w:rsidR="00F24AED">
        <w:rPr>
          <w:lang w:val="en-US"/>
        </w:rPr>
        <w:t xml:space="preserve"> from </w:t>
      </w:r>
      <w:r w:rsidR="005C582C">
        <w:rPr>
          <w:lang w:val="en-US"/>
        </w:rPr>
        <w:t>full</w:t>
      </w:r>
      <w:r w:rsidR="00F24AED">
        <w:rPr>
          <w:lang w:val="en-US"/>
        </w:rPr>
        <w:t xml:space="preserve"> participati</w:t>
      </w:r>
      <w:r w:rsidR="005C582C">
        <w:rPr>
          <w:lang w:val="en-US"/>
        </w:rPr>
        <w:t>on</w:t>
      </w:r>
      <w:r w:rsidR="00F24AED">
        <w:rPr>
          <w:lang w:val="en-US"/>
        </w:rPr>
        <w:t xml:space="preserve"> in </w:t>
      </w:r>
      <w:r w:rsidR="00F24AED" w:rsidRPr="00F24AED">
        <w:rPr>
          <w:lang w:val="en-US"/>
        </w:rPr>
        <w:t>traditional political functions</w:t>
      </w:r>
      <w:r w:rsidR="003810FE">
        <w:rPr>
          <w:lang w:val="en-US"/>
        </w:rPr>
        <w:t>.</w:t>
      </w:r>
    </w:p>
    <w:p w14:paraId="2BE0AD9F" w14:textId="77777777" w:rsidR="00EE6E3F" w:rsidRPr="00F02042" w:rsidRDefault="008B3602" w:rsidP="00F02042">
      <w:pPr>
        <w:pStyle w:val="SingleTxtG"/>
        <w:rPr>
          <w:b/>
        </w:rPr>
      </w:pPr>
      <w:r w:rsidRPr="00F02042">
        <w:t>27</w:t>
      </w:r>
      <w:r w:rsidR="00EE6E3F" w:rsidRPr="00F02042">
        <w:t>.</w:t>
      </w:r>
      <w:r w:rsidR="00EE6E3F" w:rsidRPr="00F02042">
        <w:tab/>
      </w:r>
      <w:r w:rsidR="00EE6E3F" w:rsidRPr="00F02042">
        <w:rPr>
          <w:b/>
        </w:rPr>
        <w:t>In line with its general recommendation No. 23 (1997) on women in political and public life, the Committee recommends that the State party:</w:t>
      </w:r>
    </w:p>
    <w:p w14:paraId="65716C00" w14:textId="5D6C1A2B" w:rsidR="00F24AED" w:rsidRPr="00F02042" w:rsidRDefault="00EE6E3F" w:rsidP="00F02042">
      <w:pPr>
        <w:pStyle w:val="SingleTxtG"/>
        <w:rPr>
          <w:b/>
        </w:rPr>
      </w:pPr>
      <w:r w:rsidRPr="00F02042">
        <w:rPr>
          <w:b/>
        </w:rPr>
        <w:tab/>
      </w:r>
      <w:r w:rsidR="00F02042">
        <w:rPr>
          <w:b/>
        </w:rPr>
        <w:t>(a)</w:t>
      </w:r>
      <w:r w:rsidR="00F02042">
        <w:rPr>
          <w:b/>
        </w:rPr>
        <w:tab/>
      </w:r>
      <w:r w:rsidRPr="00F02042">
        <w:rPr>
          <w:b/>
        </w:rPr>
        <w:t>Effectively enforce the Quota Law</w:t>
      </w:r>
      <w:r w:rsidR="00BB7836" w:rsidRPr="00F02042">
        <w:rPr>
          <w:b/>
        </w:rPr>
        <w:t>, including</w:t>
      </w:r>
      <w:r w:rsidRPr="00F02042">
        <w:rPr>
          <w:b/>
        </w:rPr>
        <w:t xml:space="preserve"> through the </w:t>
      </w:r>
      <w:r w:rsidR="00BB7836" w:rsidRPr="00F02042">
        <w:rPr>
          <w:b/>
        </w:rPr>
        <w:t>imposition</w:t>
      </w:r>
      <w:r w:rsidRPr="00F02042">
        <w:rPr>
          <w:b/>
        </w:rPr>
        <w:t xml:space="preserve"> of sanctions </w:t>
      </w:r>
      <w:r w:rsidR="00BB7836" w:rsidRPr="00F02042">
        <w:rPr>
          <w:b/>
        </w:rPr>
        <w:t>in case of non-</w:t>
      </w:r>
      <w:r w:rsidR="005E3DF3" w:rsidRPr="00F02042">
        <w:rPr>
          <w:b/>
        </w:rPr>
        <w:t>compliance</w:t>
      </w:r>
      <w:r w:rsidRPr="00F02042">
        <w:rPr>
          <w:b/>
        </w:rPr>
        <w:t xml:space="preserve">; </w:t>
      </w:r>
      <w:r w:rsidR="00F24AED" w:rsidRPr="00F02042">
        <w:rPr>
          <w:b/>
        </w:rPr>
        <w:tab/>
      </w:r>
    </w:p>
    <w:p w14:paraId="4B492187" w14:textId="1734C8DA" w:rsidR="00EE6E3F" w:rsidRPr="00F02042" w:rsidRDefault="003810FE" w:rsidP="00F02042">
      <w:pPr>
        <w:pStyle w:val="SingleTxtG"/>
        <w:rPr>
          <w:b/>
        </w:rPr>
      </w:pPr>
      <w:r w:rsidRPr="00F02042">
        <w:rPr>
          <w:b/>
        </w:rPr>
        <w:tab/>
        <w:t>(b)</w:t>
      </w:r>
      <w:r w:rsidRPr="00F02042">
        <w:rPr>
          <w:b/>
        </w:rPr>
        <w:tab/>
      </w:r>
      <w:r w:rsidR="005330F7" w:rsidRPr="00F02042">
        <w:rPr>
          <w:b/>
        </w:rPr>
        <w:t>Prioritize the promotion of women</w:t>
      </w:r>
      <w:r w:rsidR="00BB7836" w:rsidRPr="00F02042">
        <w:rPr>
          <w:b/>
        </w:rPr>
        <w:t>’s participation</w:t>
      </w:r>
      <w:r w:rsidR="005330F7" w:rsidRPr="00F02042">
        <w:rPr>
          <w:b/>
        </w:rPr>
        <w:t xml:space="preserve"> </w:t>
      </w:r>
      <w:r w:rsidR="00BB7836" w:rsidRPr="00F02042">
        <w:rPr>
          <w:b/>
        </w:rPr>
        <w:t>in</w:t>
      </w:r>
      <w:r w:rsidR="005330F7" w:rsidRPr="00F02042">
        <w:rPr>
          <w:b/>
        </w:rPr>
        <w:t xml:space="preserve"> local government, including </w:t>
      </w:r>
      <w:r w:rsidR="00BB7836" w:rsidRPr="00F02042">
        <w:rPr>
          <w:b/>
        </w:rPr>
        <w:t>as</w:t>
      </w:r>
      <w:r w:rsidR="005330F7" w:rsidRPr="00F02042">
        <w:rPr>
          <w:b/>
        </w:rPr>
        <w:t xml:space="preserve"> Governor</w:t>
      </w:r>
      <w:r w:rsidR="00BB7836" w:rsidRPr="00F02042">
        <w:rPr>
          <w:b/>
        </w:rPr>
        <w:t>s</w:t>
      </w:r>
      <w:r w:rsidR="005330F7" w:rsidRPr="00F02042">
        <w:rPr>
          <w:b/>
        </w:rPr>
        <w:t>, Prefect</w:t>
      </w:r>
      <w:r w:rsidR="00BB7836" w:rsidRPr="00F02042">
        <w:rPr>
          <w:b/>
        </w:rPr>
        <w:t>s</w:t>
      </w:r>
      <w:r w:rsidR="005330F7" w:rsidRPr="00F02042">
        <w:rPr>
          <w:b/>
        </w:rPr>
        <w:t>, and Mayor</w:t>
      </w:r>
      <w:r w:rsidR="00BB7836" w:rsidRPr="00F02042">
        <w:rPr>
          <w:b/>
        </w:rPr>
        <w:t>s</w:t>
      </w:r>
      <w:r w:rsidR="005330F7" w:rsidRPr="00F02042">
        <w:rPr>
          <w:b/>
        </w:rPr>
        <w:t xml:space="preserve">, as well as </w:t>
      </w:r>
      <w:r w:rsidR="00BB7836" w:rsidRPr="00F02042">
        <w:rPr>
          <w:b/>
        </w:rPr>
        <w:t xml:space="preserve">in </w:t>
      </w:r>
      <w:r w:rsidR="005330F7" w:rsidRPr="00F02042">
        <w:rPr>
          <w:b/>
        </w:rPr>
        <w:t xml:space="preserve">chieftainship positions, </w:t>
      </w:r>
      <w:r w:rsidR="007E143D" w:rsidRPr="00F02042">
        <w:rPr>
          <w:b/>
        </w:rPr>
        <w:t>and to that effect</w:t>
      </w:r>
      <w:r w:rsidRPr="00F02042">
        <w:rPr>
          <w:b/>
        </w:rPr>
        <w:t xml:space="preserve"> </w:t>
      </w:r>
      <w:r w:rsidR="005330F7" w:rsidRPr="00F02042">
        <w:rPr>
          <w:b/>
        </w:rPr>
        <w:t>repeal discriminatory provisions in</w:t>
      </w:r>
      <w:r w:rsidRPr="00F02042">
        <w:rPr>
          <w:b/>
        </w:rPr>
        <w:t xml:space="preserve"> Law 2008-22 of 23 June 2008 amending and supplementing Ordinance 93-28 of 30 March 1993 on the status of traditional chieftainship in Niger;</w:t>
      </w:r>
      <w:r w:rsidR="00EE6E3F" w:rsidRPr="00F02042">
        <w:rPr>
          <w:b/>
        </w:rPr>
        <w:t xml:space="preserve"> </w:t>
      </w:r>
    </w:p>
    <w:p w14:paraId="4F98169A" w14:textId="1D06E13B" w:rsidR="00E50D00" w:rsidRPr="00F02042" w:rsidRDefault="00EE6E3F" w:rsidP="00F02042">
      <w:pPr>
        <w:pStyle w:val="SingleTxtG"/>
        <w:rPr>
          <w:b/>
          <w:lang w:val="en-US"/>
        </w:rPr>
      </w:pPr>
      <w:r w:rsidRPr="00F02042">
        <w:rPr>
          <w:b/>
          <w:lang w:val="en-US"/>
        </w:rPr>
        <w:tab/>
        <w:t>(c)</w:t>
      </w:r>
      <w:r w:rsidRPr="00F02042">
        <w:rPr>
          <w:b/>
          <w:lang w:val="en-US"/>
        </w:rPr>
        <w:tab/>
        <w:t xml:space="preserve">Allocate adequate human, technical and financial resources </w:t>
      </w:r>
      <w:r w:rsidRPr="00F02042">
        <w:rPr>
          <w:b/>
        </w:rPr>
        <w:t xml:space="preserve">to </w:t>
      </w:r>
      <w:r w:rsidRPr="00F02042">
        <w:rPr>
          <w:b/>
          <w:lang w:val="en-US"/>
        </w:rPr>
        <w:t xml:space="preserve">the Directorate for the Promotion of Female Leadership </w:t>
      </w:r>
      <w:r w:rsidR="007E143D" w:rsidRPr="00F02042">
        <w:rPr>
          <w:b/>
          <w:lang w:val="en-US"/>
        </w:rPr>
        <w:t>to enable</w:t>
      </w:r>
      <w:r w:rsidRPr="00F02042">
        <w:rPr>
          <w:b/>
          <w:lang w:val="en-US"/>
        </w:rPr>
        <w:t xml:space="preserve"> it </w:t>
      </w:r>
      <w:r w:rsidR="007E143D" w:rsidRPr="00F02042">
        <w:rPr>
          <w:b/>
          <w:lang w:val="en-US"/>
        </w:rPr>
        <w:t>to</w:t>
      </w:r>
      <w:r w:rsidRPr="00F02042">
        <w:rPr>
          <w:b/>
          <w:lang w:val="en-US"/>
        </w:rPr>
        <w:t xml:space="preserve"> </w:t>
      </w:r>
      <w:r w:rsidR="007E143D" w:rsidRPr="00F02042">
        <w:rPr>
          <w:b/>
          <w:lang w:val="en-US"/>
        </w:rPr>
        <w:t>carry out</w:t>
      </w:r>
      <w:r w:rsidRPr="00F02042">
        <w:rPr>
          <w:b/>
          <w:lang w:val="en-US"/>
        </w:rPr>
        <w:t xml:space="preserve"> its mandate</w:t>
      </w:r>
      <w:r w:rsidR="007E143D" w:rsidRPr="00F02042">
        <w:rPr>
          <w:b/>
          <w:lang w:val="en-US"/>
        </w:rPr>
        <w:t>,</w:t>
      </w:r>
      <w:r w:rsidRPr="00F02042">
        <w:rPr>
          <w:b/>
          <w:lang w:val="en-US"/>
        </w:rPr>
        <w:t xml:space="preserve"> including by implementing a comprehensive strategy to dismantle barriers to the participation of wome</w:t>
      </w:r>
      <w:r w:rsidR="00256298" w:rsidRPr="00F02042">
        <w:rPr>
          <w:b/>
          <w:lang w:val="en-US"/>
        </w:rPr>
        <w:t xml:space="preserve">n in decision-making positions, </w:t>
      </w:r>
      <w:r w:rsidR="007E143D" w:rsidRPr="00F02042">
        <w:rPr>
          <w:b/>
          <w:lang w:val="en-US"/>
        </w:rPr>
        <w:t>with a particular focus on</w:t>
      </w:r>
      <w:r w:rsidR="00256298" w:rsidRPr="00F02042">
        <w:rPr>
          <w:b/>
          <w:lang w:val="en-US"/>
        </w:rPr>
        <w:t xml:space="preserve"> increasing wo</w:t>
      </w:r>
      <w:r w:rsidR="00E50D00" w:rsidRPr="00F02042">
        <w:rPr>
          <w:b/>
          <w:lang w:val="en-US"/>
        </w:rPr>
        <w:t>men’s educational level</w:t>
      </w:r>
      <w:r w:rsidR="005330F7" w:rsidRPr="00F02042">
        <w:rPr>
          <w:b/>
          <w:lang w:val="en-US"/>
        </w:rPr>
        <w:t>;</w:t>
      </w:r>
      <w:r w:rsidR="00040CEF" w:rsidRPr="00F02042">
        <w:rPr>
          <w:b/>
          <w:lang w:val="en-US"/>
        </w:rPr>
        <w:t xml:space="preserve"> and,</w:t>
      </w:r>
    </w:p>
    <w:p w14:paraId="18A7F4A1" w14:textId="2A14218D" w:rsidR="00EE6E3F" w:rsidRPr="00F02042" w:rsidRDefault="00EE6E3F" w:rsidP="00F02042">
      <w:pPr>
        <w:pStyle w:val="SingleTxtG"/>
        <w:rPr>
          <w:b/>
          <w:lang w:val="en-US"/>
        </w:rPr>
      </w:pPr>
      <w:r w:rsidRPr="00F02042">
        <w:rPr>
          <w:b/>
          <w:i/>
          <w:lang w:val="en-US"/>
        </w:rPr>
        <w:tab/>
      </w:r>
      <w:r w:rsidRPr="00F02042">
        <w:rPr>
          <w:b/>
          <w:lang w:val="en-US"/>
        </w:rPr>
        <w:t>(d)</w:t>
      </w:r>
      <w:r w:rsidRPr="00F02042">
        <w:rPr>
          <w:b/>
          <w:lang w:val="en-US"/>
        </w:rPr>
        <w:tab/>
        <w:t xml:space="preserve">Raise awareness </w:t>
      </w:r>
      <w:r w:rsidR="007E143D" w:rsidRPr="00F02042">
        <w:rPr>
          <w:b/>
          <w:lang w:val="en-US"/>
        </w:rPr>
        <w:t>among</w:t>
      </w:r>
      <w:r w:rsidRPr="00F02042">
        <w:rPr>
          <w:b/>
          <w:lang w:val="en-US"/>
        </w:rPr>
        <w:t xml:space="preserve"> politicians, the media</w:t>
      </w:r>
      <w:r w:rsidR="007E143D" w:rsidRPr="00F02042">
        <w:rPr>
          <w:b/>
          <w:lang w:val="en-US"/>
        </w:rPr>
        <w:t>,</w:t>
      </w:r>
      <w:r w:rsidRPr="00F02042">
        <w:rPr>
          <w:b/>
          <w:lang w:val="en-US"/>
        </w:rPr>
        <w:t xml:space="preserve"> </w:t>
      </w:r>
      <w:r w:rsidR="005330F7" w:rsidRPr="00F02042">
        <w:rPr>
          <w:b/>
          <w:lang w:val="en-US"/>
        </w:rPr>
        <w:t>traditional</w:t>
      </w:r>
      <w:r w:rsidRPr="00F02042">
        <w:rPr>
          <w:b/>
          <w:lang w:val="en-US"/>
        </w:rPr>
        <w:t xml:space="preserve"> leaders </w:t>
      </w:r>
      <w:r w:rsidR="005330F7" w:rsidRPr="00F02042">
        <w:rPr>
          <w:b/>
          <w:lang w:val="en-US"/>
        </w:rPr>
        <w:t xml:space="preserve">and the general public </w:t>
      </w:r>
      <w:r w:rsidR="007E143D" w:rsidRPr="00F02042">
        <w:rPr>
          <w:b/>
        </w:rPr>
        <w:t>that the full, equal, free and democratic participation of women on an equal basis with men in political and public life is a requirement for the effective implementation of the Convention, as well as the political stability and economic development of the country</w:t>
      </w:r>
      <w:r w:rsidRPr="00F02042">
        <w:rPr>
          <w:b/>
          <w:lang w:val="en-US"/>
        </w:rPr>
        <w:t>.</w:t>
      </w:r>
    </w:p>
    <w:p w14:paraId="7E60806D" w14:textId="2BFB58C5" w:rsidR="00EE6E3F" w:rsidRPr="003C5A29" w:rsidRDefault="00EE6E3F" w:rsidP="00EE6E3F">
      <w:pPr>
        <w:pStyle w:val="H23G"/>
        <w:ind w:firstLine="0"/>
        <w:jc w:val="both"/>
        <w:rPr>
          <w:lang w:val="en-US"/>
        </w:rPr>
      </w:pPr>
      <w:r w:rsidRPr="003C5A29">
        <w:rPr>
          <w:lang w:val="en-US"/>
        </w:rPr>
        <w:t>Education</w:t>
      </w:r>
    </w:p>
    <w:p w14:paraId="572BE1CA" w14:textId="64894A37" w:rsidR="00EE6E3F" w:rsidRDefault="008B3602" w:rsidP="00F02042">
      <w:pPr>
        <w:pStyle w:val="SingleTxtG"/>
        <w:rPr>
          <w:b/>
          <w:lang w:val="en-US"/>
        </w:rPr>
      </w:pPr>
      <w:r>
        <w:rPr>
          <w:lang w:val="en-US"/>
        </w:rPr>
        <w:t>28</w:t>
      </w:r>
      <w:r w:rsidR="00EE6E3F" w:rsidRPr="00E12B21">
        <w:rPr>
          <w:lang w:val="en-US"/>
        </w:rPr>
        <w:t>.</w:t>
      </w:r>
      <w:r w:rsidR="00EE6E3F" w:rsidRPr="00E12B21">
        <w:rPr>
          <w:lang w:val="en-US"/>
        </w:rPr>
        <w:tab/>
        <w:t xml:space="preserve">The Committee welcomes </w:t>
      </w:r>
      <w:r w:rsidR="00EE6E3F">
        <w:rPr>
          <w:lang w:val="en-US"/>
        </w:rPr>
        <w:t xml:space="preserve">the </w:t>
      </w:r>
      <w:r w:rsidR="002F20CB">
        <w:rPr>
          <w:lang w:val="en-US"/>
        </w:rPr>
        <w:t xml:space="preserve">declaration of </w:t>
      </w:r>
      <w:r w:rsidR="007E143D">
        <w:rPr>
          <w:lang w:val="en-US"/>
        </w:rPr>
        <w:t xml:space="preserve">the President of the State party on </w:t>
      </w:r>
      <w:r w:rsidR="002F20CB">
        <w:rPr>
          <w:lang w:val="en-US"/>
        </w:rPr>
        <w:t xml:space="preserve">compulsory education </w:t>
      </w:r>
      <w:r w:rsidR="00EE6E3F">
        <w:rPr>
          <w:lang w:val="en-US"/>
        </w:rPr>
        <w:t>until 1</w:t>
      </w:r>
      <w:r w:rsidR="002F20CB">
        <w:rPr>
          <w:lang w:val="en-US"/>
        </w:rPr>
        <w:t>6</w:t>
      </w:r>
      <w:r w:rsidR="00EE6E3F">
        <w:rPr>
          <w:lang w:val="en-US"/>
        </w:rPr>
        <w:t xml:space="preserve"> years of age</w:t>
      </w:r>
      <w:r w:rsidR="00B92F48">
        <w:rPr>
          <w:lang w:val="en-US"/>
        </w:rPr>
        <w:t xml:space="preserve"> and</w:t>
      </w:r>
      <w:r w:rsidR="002F20CB">
        <w:rPr>
          <w:lang w:val="en-US"/>
        </w:rPr>
        <w:t xml:space="preserve"> </w:t>
      </w:r>
      <w:r w:rsidR="00EE6E3F">
        <w:rPr>
          <w:lang w:val="en-US"/>
        </w:rPr>
        <w:t xml:space="preserve">the implementation of </w:t>
      </w:r>
      <w:r w:rsidR="00EE6E3F" w:rsidRPr="00E12B21">
        <w:rPr>
          <w:lang w:val="en-US"/>
        </w:rPr>
        <w:t xml:space="preserve">a national </w:t>
      </w:r>
      <w:r w:rsidR="00EE6E3F">
        <w:rPr>
          <w:lang w:val="en-US"/>
        </w:rPr>
        <w:t>strategy</w:t>
      </w:r>
      <w:r w:rsidR="00EE6E3F" w:rsidRPr="00E12B21">
        <w:rPr>
          <w:lang w:val="en-US"/>
        </w:rPr>
        <w:t xml:space="preserve"> </w:t>
      </w:r>
      <w:r w:rsidR="00EE6E3F">
        <w:rPr>
          <w:lang w:val="en-US"/>
        </w:rPr>
        <w:t xml:space="preserve">on girls’ education </w:t>
      </w:r>
      <w:r w:rsidR="00B92F48">
        <w:rPr>
          <w:lang w:val="en-US"/>
        </w:rPr>
        <w:t>aimed at</w:t>
      </w:r>
      <w:r w:rsidR="00EE6E3F">
        <w:rPr>
          <w:lang w:val="en-US"/>
        </w:rPr>
        <w:t xml:space="preserve"> </w:t>
      </w:r>
      <w:r w:rsidR="00B92F48">
        <w:rPr>
          <w:lang w:val="en-US"/>
        </w:rPr>
        <w:t>reaching parity</w:t>
      </w:r>
      <w:r w:rsidR="00EE6E3F">
        <w:rPr>
          <w:lang w:val="en-US"/>
        </w:rPr>
        <w:t xml:space="preserve"> by 2020. </w:t>
      </w:r>
      <w:r w:rsidR="00B92F48">
        <w:rPr>
          <w:lang w:val="en-US"/>
        </w:rPr>
        <w:t>It is</w:t>
      </w:r>
      <w:r w:rsidR="00EE6E3F" w:rsidRPr="00E12B21">
        <w:rPr>
          <w:lang w:val="en-US"/>
        </w:rPr>
        <w:t xml:space="preserve">, </w:t>
      </w:r>
      <w:r w:rsidR="00B92F48">
        <w:rPr>
          <w:lang w:val="en-US"/>
        </w:rPr>
        <w:t>however,</w:t>
      </w:r>
      <w:r w:rsidR="00EE6E3F" w:rsidRPr="00E12B21">
        <w:rPr>
          <w:lang w:val="en-US"/>
        </w:rPr>
        <w:t xml:space="preserve"> concerned</w:t>
      </w:r>
      <w:r w:rsidR="00EE6E3F">
        <w:rPr>
          <w:lang w:val="en-US"/>
        </w:rPr>
        <w:t xml:space="preserve"> about:</w:t>
      </w:r>
    </w:p>
    <w:p w14:paraId="4981D687" w14:textId="01F11938" w:rsidR="005723E1" w:rsidRDefault="00EE6E3F" w:rsidP="00F02042">
      <w:pPr>
        <w:pStyle w:val="SingleTxtG"/>
        <w:rPr>
          <w:b/>
          <w:lang w:val="en-US"/>
        </w:rPr>
      </w:pPr>
      <w:r>
        <w:rPr>
          <w:lang w:val="en-US"/>
        </w:rPr>
        <w:tab/>
      </w:r>
      <w:r w:rsidR="005723E1">
        <w:rPr>
          <w:lang w:val="en-US"/>
        </w:rPr>
        <w:t>(a</w:t>
      </w:r>
      <w:r w:rsidRPr="005C16FD">
        <w:rPr>
          <w:lang w:val="en-US"/>
        </w:rPr>
        <w:t>)</w:t>
      </w:r>
      <w:r w:rsidRPr="005C16FD">
        <w:rPr>
          <w:lang w:val="en-US"/>
        </w:rPr>
        <w:tab/>
      </w:r>
      <w:r w:rsidR="007E143D">
        <w:rPr>
          <w:lang w:val="en-US"/>
        </w:rPr>
        <w:t>The disproportionately l</w:t>
      </w:r>
      <w:r w:rsidR="005723E1">
        <w:rPr>
          <w:lang w:val="en-US"/>
        </w:rPr>
        <w:t>ow</w:t>
      </w:r>
      <w:r w:rsidRPr="005C16FD">
        <w:rPr>
          <w:lang w:val="en-US"/>
        </w:rPr>
        <w:t xml:space="preserve"> school enrolment rates </w:t>
      </w:r>
      <w:r w:rsidR="005723E1">
        <w:rPr>
          <w:lang w:val="en-US"/>
        </w:rPr>
        <w:t>of</w:t>
      </w:r>
      <w:r w:rsidRPr="005C16FD">
        <w:rPr>
          <w:lang w:val="en-US"/>
        </w:rPr>
        <w:t xml:space="preserve"> girls, </w:t>
      </w:r>
      <w:r w:rsidR="005723E1">
        <w:rPr>
          <w:lang w:val="en-US"/>
        </w:rPr>
        <w:t>particularly those from</w:t>
      </w:r>
      <w:r w:rsidRPr="005C16FD">
        <w:rPr>
          <w:lang w:val="en-US"/>
        </w:rPr>
        <w:t xml:space="preserve"> rural areas (Diffa, Zinder, Tillabéry and Tahoua), nomadic populations, </w:t>
      </w:r>
      <w:r w:rsidR="007E143D">
        <w:rPr>
          <w:lang w:val="en-US"/>
        </w:rPr>
        <w:t>poor families, and girls</w:t>
      </w:r>
      <w:r w:rsidR="005723E1">
        <w:rPr>
          <w:lang w:val="en-US"/>
        </w:rPr>
        <w:t xml:space="preserve"> </w:t>
      </w:r>
      <w:r w:rsidR="007E143D">
        <w:rPr>
          <w:lang w:val="en-US"/>
        </w:rPr>
        <w:t xml:space="preserve">who are </w:t>
      </w:r>
      <w:r>
        <w:rPr>
          <w:lang w:val="en-US"/>
        </w:rPr>
        <w:t>victims</w:t>
      </w:r>
      <w:r w:rsidR="007E143D">
        <w:rPr>
          <w:lang w:val="en-US"/>
        </w:rPr>
        <w:t xml:space="preserve"> of slavery</w:t>
      </w:r>
      <w:r w:rsidR="005723E1">
        <w:rPr>
          <w:lang w:val="en-US"/>
        </w:rPr>
        <w:t>,</w:t>
      </w:r>
      <w:r>
        <w:rPr>
          <w:lang w:val="en-US"/>
        </w:rPr>
        <w:t xml:space="preserve"> </w:t>
      </w:r>
      <w:r w:rsidR="005723E1">
        <w:rPr>
          <w:lang w:val="en-US"/>
        </w:rPr>
        <w:t xml:space="preserve">descendants </w:t>
      </w:r>
      <w:r>
        <w:rPr>
          <w:lang w:val="en-US"/>
        </w:rPr>
        <w:t>of slavery</w:t>
      </w:r>
      <w:r w:rsidR="00B92F48">
        <w:rPr>
          <w:lang w:val="en-US"/>
        </w:rPr>
        <w:t>,</w:t>
      </w:r>
      <w:r>
        <w:rPr>
          <w:lang w:val="en-US"/>
        </w:rPr>
        <w:t xml:space="preserve"> </w:t>
      </w:r>
      <w:r w:rsidR="007E143D">
        <w:rPr>
          <w:lang w:val="en-US"/>
        </w:rPr>
        <w:t>as well as</w:t>
      </w:r>
      <w:r w:rsidR="005723E1">
        <w:rPr>
          <w:lang w:val="en-US"/>
        </w:rPr>
        <w:t xml:space="preserve"> girls with disabilities</w:t>
      </w:r>
      <w:r w:rsidRPr="005C16FD">
        <w:rPr>
          <w:lang w:val="en-US"/>
        </w:rPr>
        <w:t>;</w:t>
      </w:r>
      <w:r w:rsidR="00964121">
        <w:rPr>
          <w:lang w:val="en-US"/>
        </w:rPr>
        <w:t xml:space="preserve"> </w:t>
      </w:r>
    </w:p>
    <w:p w14:paraId="150FD236" w14:textId="6AAEB8A0" w:rsidR="00EE6E3F" w:rsidRPr="005C16FD" w:rsidRDefault="00F02042" w:rsidP="00F02042">
      <w:pPr>
        <w:pStyle w:val="SingleTxtG"/>
        <w:rPr>
          <w:rStyle w:val="EndnoteReference"/>
          <w:b/>
          <w:lang w:val="en-US"/>
        </w:rPr>
      </w:pPr>
      <w:r>
        <w:rPr>
          <w:lang w:val="en-US"/>
        </w:rPr>
        <w:tab/>
        <w:t>(b</w:t>
      </w:r>
      <w:r w:rsidR="005723E1">
        <w:rPr>
          <w:lang w:val="en-US"/>
        </w:rPr>
        <w:t>)</w:t>
      </w:r>
      <w:r w:rsidR="005723E1" w:rsidRPr="00C9575F">
        <w:rPr>
          <w:lang w:val="en-US"/>
        </w:rPr>
        <w:tab/>
      </w:r>
      <w:r w:rsidR="007E143D">
        <w:rPr>
          <w:lang w:val="en-US"/>
        </w:rPr>
        <w:t>Girls’ e</w:t>
      </w:r>
      <w:r w:rsidR="005723E1" w:rsidRPr="00C9575F">
        <w:rPr>
          <w:lang w:val="en-US"/>
        </w:rPr>
        <w:t xml:space="preserve">xtremely low completion rate and their high repetition rates, particularly at the secondary </w:t>
      </w:r>
      <w:r w:rsidR="007E143D">
        <w:rPr>
          <w:lang w:val="en-US"/>
        </w:rPr>
        <w:t xml:space="preserve">level of </w:t>
      </w:r>
      <w:r w:rsidR="005723E1" w:rsidRPr="00C9575F">
        <w:rPr>
          <w:lang w:val="en-US"/>
        </w:rPr>
        <w:t xml:space="preserve">education, owing to, </w:t>
      </w:r>
      <w:r w:rsidR="005723E1" w:rsidRPr="005723E1">
        <w:rPr>
          <w:i/>
          <w:lang w:val="en-US"/>
        </w:rPr>
        <w:t>inter alia</w:t>
      </w:r>
      <w:r w:rsidR="005723E1" w:rsidRPr="00C9575F">
        <w:rPr>
          <w:lang w:val="en-US"/>
        </w:rPr>
        <w:t>, early and child marriage, early pregnancy, indi</w:t>
      </w:r>
      <w:r w:rsidR="005723E1">
        <w:rPr>
          <w:lang w:val="en-US"/>
        </w:rPr>
        <w:t xml:space="preserve">rect school costs, </w:t>
      </w:r>
      <w:r w:rsidR="00D9263C" w:rsidRPr="005C16FD">
        <w:rPr>
          <w:lang w:val="en-US"/>
        </w:rPr>
        <w:t>the requirement to pay school fees at the secondary level</w:t>
      </w:r>
      <w:r w:rsidR="00D9263C">
        <w:rPr>
          <w:lang w:val="en-US"/>
        </w:rPr>
        <w:t xml:space="preserve">, </w:t>
      </w:r>
      <w:r w:rsidR="005723E1">
        <w:rPr>
          <w:lang w:val="en-US"/>
        </w:rPr>
        <w:t>child labour</w:t>
      </w:r>
      <w:r w:rsidR="005723E1" w:rsidRPr="00151532">
        <w:rPr>
          <w:lang w:val="en-US"/>
        </w:rPr>
        <w:t xml:space="preserve"> </w:t>
      </w:r>
      <w:r w:rsidR="005723E1" w:rsidRPr="00C9575F">
        <w:rPr>
          <w:lang w:val="en-US"/>
        </w:rPr>
        <w:t xml:space="preserve">and preference for sending boys to school, resulting in a very </w:t>
      </w:r>
      <w:r w:rsidR="005723E1">
        <w:rPr>
          <w:lang w:val="en-US"/>
        </w:rPr>
        <w:t>low</w:t>
      </w:r>
      <w:r w:rsidR="005723E1" w:rsidRPr="00C9575F">
        <w:rPr>
          <w:lang w:val="en-US"/>
        </w:rPr>
        <w:t xml:space="preserve"> literacy rate (</w:t>
      </w:r>
      <w:r w:rsidR="005723E1">
        <w:rPr>
          <w:lang w:val="en-US"/>
        </w:rPr>
        <w:t>11</w:t>
      </w:r>
      <w:r w:rsidR="00EE15E3">
        <w:rPr>
          <w:lang w:val="en-US"/>
        </w:rPr>
        <w:t xml:space="preserve"> per</w:t>
      </w:r>
      <w:r w:rsidR="005723E1" w:rsidRPr="00C9575F">
        <w:rPr>
          <w:lang w:val="en-US"/>
        </w:rPr>
        <w:t>cent)</w:t>
      </w:r>
      <w:r w:rsidR="005723E1">
        <w:rPr>
          <w:lang w:val="en-US"/>
        </w:rPr>
        <w:t xml:space="preserve"> among women in the State party;</w:t>
      </w:r>
      <w:r w:rsidR="005723E1" w:rsidRPr="00D125DE">
        <w:rPr>
          <w:rStyle w:val="EndnoteReference"/>
          <w:lang w:val="en-US"/>
        </w:rPr>
        <w:t xml:space="preserve"> </w:t>
      </w:r>
      <w:r w:rsidR="00964121">
        <w:rPr>
          <w:lang w:val="en-US"/>
        </w:rPr>
        <w:t>and,</w:t>
      </w:r>
    </w:p>
    <w:p w14:paraId="1B001AF1" w14:textId="43F11333" w:rsidR="00EE6E3F" w:rsidRPr="005C16FD" w:rsidRDefault="00EE6E3F" w:rsidP="00F02042">
      <w:pPr>
        <w:pStyle w:val="SingleTxtG"/>
        <w:rPr>
          <w:lang w:val="en-US"/>
        </w:rPr>
      </w:pPr>
      <w:r w:rsidRPr="005C16FD">
        <w:rPr>
          <w:rStyle w:val="EndnoteReference"/>
          <w:lang w:val="en-US"/>
        </w:rPr>
        <w:tab/>
      </w:r>
      <w:r w:rsidRPr="005C16FD">
        <w:rPr>
          <w:lang w:val="en-US"/>
        </w:rPr>
        <w:t>(c)</w:t>
      </w:r>
      <w:r w:rsidRPr="005C16FD">
        <w:rPr>
          <w:lang w:val="en-US"/>
        </w:rPr>
        <w:tab/>
      </w:r>
      <w:r w:rsidR="007E143D">
        <w:rPr>
          <w:lang w:val="en-US"/>
        </w:rPr>
        <w:t>The p</w:t>
      </w:r>
      <w:r w:rsidRPr="005C16FD">
        <w:rPr>
          <w:lang w:val="en-US"/>
        </w:rPr>
        <w:t xml:space="preserve">oor quality of education due to </w:t>
      </w:r>
      <w:r w:rsidR="007E143D">
        <w:rPr>
          <w:lang w:val="en-US"/>
        </w:rPr>
        <w:t>insufficient</w:t>
      </w:r>
      <w:r w:rsidRPr="005C16FD">
        <w:rPr>
          <w:lang w:val="en-US"/>
        </w:rPr>
        <w:t xml:space="preserve"> investments in school infrastructure, teacher training, transportation to schools, </w:t>
      </w:r>
      <w:r w:rsidR="007E143D">
        <w:rPr>
          <w:lang w:val="en-US"/>
        </w:rPr>
        <w:t>and</w:t>
      </w:r>
      <w:r>
        <w:rPr>
          <w:lang w:val="en-US"/>
        </w:rPr>
        <w:t xml:space="preserve"> school feeding program</w:t>
      </w:r>
      <w:r w:rsidRPr="002E4C00">
        <w:rPr>
          <w:lang w:val="en-US"/>
        </w:rPr>
        <w:t>s</w:t>
      </w:r>
      <w:r w:rsidR="00964121">
        <w:rPr>
          <w:lang w:val="en-US"/>
        </w:rPr>
        <w:t>.</w:t>
      </w:r>
    </w:p>
    <w:p w14:paraId="6E16414D" w14:textId="77777777" w:rsidR="00EE6E3F" w:rsidRPr="00F02042" w:rsidRDefault="008B3602" w:rsidP="00F02042">
      <w:pPr>
        <w:pStyle w:val="SingleTxtG"/>
        <w:rPr>
          <w:b/>
        </w:rPr>
      </w:pPr>
      <w:r w:rsidRPr="00F02042">
        <w:t>29</w:t>
      </w:r>
      <w:r w:rsidR="00EE6E3F" w:rsidRPr="00F02042">
        <w:t>.</w:t>
      </w:r>
      <w:r w:rsidR="00EE6E3F" w:rsidRPr="00F02042">
        <w:tab/>
      </w:r>
      <w:r w:rsidR="00EE6E3F" w:rsidRPr="00F02042">
        <w:rPr>
          <w:b/>
        </w:rPr>
        <w:t xml:space="preserve">The Committee, taking note of Sustainable Development Goal 4.5, to eliminate gender disparities in education, recommends that the State party: </w:t>
      </w:r>
    </w:p>
    <w:p w14:paraId="71B0D4F5" w14:textId="55D9ED6F" w:rsidR="005723E1" w:rsidRPr="00F02042" w:rsidRDefault="00EE6E3F" w:rsidP="00F02042">
      <w:pPr>
        <w:pStyle w:val="SingleTxtG"/>
        <w:rPr>
          <w:b/>
        </w:rPr>
      </w:pPr>
      <w:r w:rsidRPr="00F02042">
        <w:rPr>
          <w:b/>
        </w:rPr>
        <w:tab/>
        <w:t>(a)</w:t>
      </w:r>
      <w:r w:rsidRPr="00F02042">
        <w:rPr>
          <w:b/>
        </w:rPr>
        <w:tab/>
      </w:r>
      <w:r w:rsidR="005723E1" w:rsidRPr="00F02042">
        <w:rPr>
          <w:b/>
        </w:rPr>
        <w:t xml:space="preserve">Dismantle </w:t>
      </w:r>
      <w:r w:rsidR="00A02D35" w:rsidRPr="00F02042">
        <w:rPr>
          <w:b/>
        </w:rPr>
        <w:t>discriminatory stereotypes and other</w:t>
      </w:r>
      <w:r w:rsidR="005723E1" w:rsidRPr="00F02042">
        <w:rPr>
          <w:b/>
        </w:rPr>
        <w:t xml:space="preserve"> barriers to girls’ access to </w:t>
      </w:r>
      <w:r w:rsidR="00422552" w:rsidRPr="00F02042">
        <w:rPr>
          <w:b/>
        </w:rPr>
        <w:t>education</w:t>
      </w:r>
      <w:r w:rsidR="005723E1" w:rsidRPr="00F02042">
        <w:rPr>
          <w:b/>
        </w:rPr>
        <w:t xml:space="preserve"> by raising awareness, particularly among parents and traditional leaders, of the importance of education for women and girls and on the harmful effects of early and child marriage; </w:t>
      </w:r>
    </w:p>
    <w:p w14:paraId="3441A0DD" w14:textId="24768E0C" w:rsidR="001B6FC4" w:rsidRDefault="005723E1" w:rsidP="00F02042">
      <w:pPr>
        <w:pStyle w:val="SingleTxtG"/>
        <w:rPr>
          <w:b/>
        </w:rPr>
      </w:pPr>
      <w:r w:rsidRPr="00F02042">
        <w:rPr>
          <w:b/>
        </w:rPr>
        <w:tab/>
      </w:r>
      <w:r w:rsidR="00964121" w:rsidRPr="00F02042">
        <w:rPr>
          <w:b/>
        </w:rPr>
        <w:t>(</w:t>
      </w:r>
      <w:r w:rsidR="00787A6F">
        <w:rPr>
          <w:b/>
        </w:rPr>
        <w:t>b</w:t>
      </w:r>
      <w:r w:rsidR="00EE6E3F" w:rsidRPr="00F02042">
        <w:rPr>
          <w:b/>
        </w:rPr>
        <w:t>)</w:t>
      </w:r>
      <w:r w:rsidR="00EE6E3F" w:rsidRPr="00F02042">
        <w:rPr>
          <w:b/>
        </w:rPr>
        <w:tab/>
      </w:r>
      <w:r w:rsidR="001B6FC4">
        <w:rPr>
          <w:b/>
        </w:rPr>
        <w:t>Ensure</w:t>
      </w:r>
      <w:r w:rsidR="001B6FC4" w:rsidRPr="00F02042">
        <w:rPr>
          <w:b/>
        </w:rPr>
        <w:t xml:space="preserve"> the re-entry into school of young mothers, including through repeal of Decision No. 65/MEN/DEST/EX of 10 July 1998, </w:t>
      </w:r>
      <w:r w:rsidR="001B6FC4">
        <w:rPr>
          <w:b/>
        </w:rPr>
        <w:t xml:space="preserve">which </w:t>
      </w:r>
      <w:r w:rsidR="001B6FC4" w:rsidRPr="00F02042">
        <w:rPr>
          <w:b/>
        </w:rPr>
        <w:t>temporarily exclud</w:t>
      </w:r>
      <w:r w:rsidR="001B6FC4">
        <w:rPr>
          <w:b/>
        </w:rPr>
        <w:t>es</w:t>
      </w:r>
      <w:r w:rsidR="001B6FC4" w:rsidRPr="00F02042">
        <w:rPr>
          <w:b/>
        </w:rPr>
        <w:t xml:space="preserve"> girls who become pregnant from school and definit</w:t>
      </w:r>
      <w:r w:rsidR="001B6FC4">
        <w:rPr>
          <w:b/>
        </w:rPr>
        <w:t>iv</w:t>
      </w:r>
      <w:r w:rsidR="001B6FC4" w:rsidRPr="00F02042">
        <w:rPr>
          <w:b/>
        </w:rPr>
        <w:t>ely exclud</w:t>
      </w:r>
      <w:r w:rsidR="001B6FC4">
        <w:rPr>
          <w:b/>
        </w:rPr>
        <w:t>es</w:t>
      </w:r>
      <w:r w:rsidR="001B6FC4" w:rsidRPr="00F02042">
        <w:rPr>
          <w:b/>
        </w:rPr>
        <w:t xml:space="preserve"> them in case they get married</w:t>
      </w:r>
      <w:r w:rsidR="001B6FC4">
        <w:rPr>
          <w:b/>
        </w:rPr>
        <w:t xml:space="preserve"> </w:t>
      </w:r>
    </w:p>
    <w:p w14:paraId="27E6ADF2" w14:textId="1275A958" w:rsidR="00964121" w:rsidRPr="00F02042" w:rsidRDefault="001B6FC4" w:rsidP="00C46C06">
      <w:pPr>
        <w:pStyle w:val="SingleTxtG"/>
        <w:ind w:firstLine="567"/>
        <w:rPr>
          <w:b/>
        </w:rPr>
      </w:pPr>
      <w:r>
        <w:rPr>
          <w:b/>
        </w:rPr>
        <w:t>(c)</w:t>
      </w:r>
      <w:r>
        <w:rPr>
          <w:b/>
        </w:rPr>
        <w:tab/>
      </w:r>
      <w:r w:rsidR="00EE6E3F" w:rsidRPr="00F02042">
        <w:rPr>
          <w:b/>
        </w:rPr>
        <w:t>Include mandatory age-appropriate and scientifically accurate education on sexual and reproductive health</w:t>
      </w:r>
      <w:r w:rsidR="00DF199E">
        <w:rPr>
          <w:b/>
        </w:rPr>
        <w:t xml:space="preserve"> and rights</w:t>
      </w:r>
      <w:r w:rsidR="00EE6E3F" w:rsidRPr="00F02042">
        <w:rPr>
          <w:b/>
        </w:rPr>
        <w:t xml:space="preserve"> in school curricula, aimed at both girls and boys, </w:t>
      </w:r>
      <w:r w:rsidR="00DF199E" w:rsidRPr="00C46C06">
        <w:rPr>
          <w:b/>
          <w:i/>
        </w:rPr>
        <w:t>inter alia,</w:t>
      </w:r>
      <w:r w:rsidR="00DF199E">
        <w:rPr>
          <w:b/>
        </w:rPr>
        <w:t xml:space="preserve"> </w:t>
      </w:r>
      <w:r w:rsidR="00EE6E3F" w:rsidRPr="00F02042">
        <w:rPr>
          <w:b/>
        </w:rPr>
        <w:t>to red</w:t>
      </w:r>
      <w:r w:rsidR="005723E1" w:rsidRPr="00F02042">
        <w:rPr>
          <w:b/>
        </w:rPr>
        <w:t>uce pregnancy-related dropout;</w:t>
      </w:r>
      <w:r w:rsidR="00F02042" w:rsidRPr="00F02042">
        <w:rPr>
          <w:b/>
        </w:rPr>
        <w:t xml:space="preserve"> </w:t>
      </w:r>
    </w:p>
    <w:p w14:paraId="20A2FE36" w14:textId="33216E6A" w:rsidR="001B6FC4" w:rsidRDefault="00964121" w:rsidP="00C46C06">
      <w:pPr>
        <w:pStyle w:val="SingleTxtG"/>
        <w:rPr>
          <w:b/>
        </w:rPr>
      </w:pPr>
      <w:r w:rsidRPr="00F02042">
        <w:rPr>
          <w:b/>
        </w:rPr>
        <w:tab/>
      </w:r>
      <w:r w:rsidR="00B92F48" w:rsidRPr="00F02042">
        <w:rPr>
          <w:b/>
        </w:rPr>
        <w:t>(</w:t>
      </w:r>
      <w:r w:rsidR="001B6FC4">
        <w:rPr>
          <w:b/>
        </w:rPr>
        <w:t>d</w:t>
      </w:r>
      <w:r w:rsidR="00B92F48" w:rsidRPr="00F02042">
        <w:rPr>
          <w:b/>
        </w:rPr>
        <w:t>)</w:t>
      </w:r>
      <w:r w:rsidR="00B92F48" w:rsidRPr="00F02042">
        <w:rPr>
          <w:b/>
        </w:rPr>
        <w:tab/>
      </w:r>
      <w:r w:rsidRPr="00F02042">
        <w:rPr>
          <w:b/>
        </w:rPr>
        <w:t>Allocate adequate funding to provide free education beyond the first six years of school</w:t>
      </w:r>
      <w:r w:rsidR="00A02D35" w:rsidRPr="00F02042">
        <w:rPr>
          <w:b/>
        </w:rPr>
        <w:t>ing</w:t>
      </w:r>
      <w:r w:rsidRPr="00F02042">
        <w:rPr>
          <w:b/>
        </w:rPr>
        <w:t xml:space="preserve"> at least until the completion of secondary school</w:t>
      </w:r>
      <w:r w:rsidR="0032021C" w:rsidRPr="00F02042">
        <w:rPr>
          <w:b/>
        </w:rPr>
        <w:t>,</w:t>
      </w:r>
      <w:r w:rsidRPr="00F02042">
        <w:rPr>
          <w:b/>
        </w:rPr>
        <w:t xml:space="preserve"> eliminate indirect costs </w:t>
      </w:r>
      <w:r w:rsidR="005723E1" w:rsidRPr="00F02042">
        <w:rPr>
          <w:b/>
        </w:rPr>
        <w:t>of schooling</w:t>
      </w:r>
      <w:r w:rsidRPr="00F02042">
        <w:rPr>
          <w:b/>
        </w:rPr>
        <w:t>, improve the quality of teaching and school infrastructure</w:t>
      </w:r>
      <w:r w:rsidR="0032021C" w:rsidRPr="00F02042">
        <w:rPr>
          <w:b/>
        </w:rPr>
        <w:t>s</w:t>
      </w:r>
      <w:r w:rsidRPr="00F02042">
        <w:rPr>
          <w:b/>
        </w:rPr>
        <w:t xml:space="preserve">, </w:t>
      </w:r>
      <w:r w:rsidR="0032021C" w:rsidRPr="00F02042">
        <w:rPr>
          <w:b/>
        </w:rPr>
        <w:t>enhance</w:t>
      </w:r>
      <w:r w:rsidR="005723E1" w:rsidRPr="00F02042">
        <w:rPr>
          <w:b/>
        </w:rPr>
        <w:t xml:space="preserve"> </w:t>
      </w:r>
      <w:r w:rsidRPr="00F02042">
        <w:rPr>
          <w:b/>
        </w:rPr>
        <w:t>the provision of school feeding programs and appropriate sanitary facilities for girls</w:t>
      </w:r>
      <w:r w:rsidR="001B6FC4">
        <w:rPr>
          <w:b/>
        </w:rPr>
        <w:t xml:space="preserve">; and </w:t>
      </w:r>
    </w:p>
    <w:p w14:paraId="79153394" w14:textId="3C93D3C1" w:rsidR="00964121" w:rsidRPr="00F02042" w:rsidRDefault="001B6FC4" w:rsidP="001B6FC4">
      <w:pPr>
        <w:pStyle w:val="SingleTxtG"/>
        <w:ind w:firstLine="567"/>
        <w:rPr>
          <w:b/>
        </w:rPr>
      </w:pPr>
      <w:r>
        <w:rPr>
          <w:b/>
        </w:rPr>
        <w:t>(e)</w:t>
      </w:r>
      <w:r>
        <w:rPr>
          <w:b/>
        </w:rPr>
        <w:tab/>
        <w:t>Further promote women’s and girl’s access to tertiary education through, inter alia, advocacy and provision of scholarships</w:t>
      </w:r>
      <w:r w:rsidR="00964121" w:rsidRPr="00F02042">
        <w:rPr>
          <w:b/>
        </w:rPr>
        <w:t xml:space="preserve"> and strengthen adult literacy programmes</w:t>
      </w:r>
      <w:r w:rsidR="005723E1" w:rsidRPr="00F02042">
        <w:rPr>
          <w:b/>
        </w:rPr>
        <w:t>, especially in rural areas</w:t>
      </w:r>
      <w:r>
        <w:rPr>
          <w:b/>
        </w:rPr>
        <w:t>.</w:t>
      </w:r>
    </w:p>
    <w:p w14:paraId="3D68AB87" w14:textId="68653386" w:rsidR="00EE6E3F" w:rsidRPr="00042061" w:rsidRDefault="00EE6E3F" w:rsidP="00EE6E3F">
      <w:pPr>
        <w:pStyle w:val="H23G"/>
        <w:ind w:firstLine="0"/>
        <w:jc w:val="both"/>
        <w:rPr>
          <w:lang w:val="en-US"/>
        </w:rPr>
      </w:pPr>
      <w:r w:rsidRPr="00042061">
        <w:rPr>
          <w:lang w:val="en-US"/>
        </w:rPr>
        <w:t>Employment</w:t>
      </w:r>
    </w:p>
    <w:p w14:paraId="73893022" w14:textId="0ECCCCFC" w:rsidR="00EE6E3F" w:rsidRDefault="008B3602" w:rsidP="00F02042">
      <w:pPr>
        <w:pStyle w:val="SingleTxtG"/>
        <w:rPr>
          <w:b/>
          <w:lang w:val="en-US"/>
        </w:rPr>
      </w:pPr>
      <w:r>
        <w:rPr>
          <w:lang w:val="en-US"/>
        </w:rPr>
        <w:t>30</w:t>
      </w:r>
      <w:r w:rsidR="00EE6E3F" w:rsidRPr="008E2F68">
        <w:rPr>
          <w:lang w:val="en-US"/>
        </w:rPr>
        <w:t>.</w:t>
      </w:r>
      <w:r w:rsidR="00EE6E3F" w:rsidRPr="008E2F68">
        <w:rPr>
          <w:lang w:val="en-US"/>
        </w:rPr>
        <w:tab/>
      </w:r>
      <w:r w:rsidR="00B32DB0">
        <w:rPr>
          <w:lang w:val="en-US"/>
        </w:rPr>
        <w:t xml:space="preserve">The Committee </w:t>
      </w:r>
      <w:r w:rsidR="00E17C96">
        <w:rPr>
          <w:lang w:val="en-US"/>
        </w:rPr>
        <w:t>notes</w:t>
      </w:r>
      <w:r w:rsidR="00B32DB0">
        <w:rPr>
          <w:lang w:val="en-US"/>
        </w:rPr>
        <w:t xml:space="preserve"> the Constitutional guarantee of </w:t>
      </w:r>
      <w:r w:rsidR="00062864">
        <w:rPr>
          <w:lang w:val="en-US"/>
        </w:rPr>
        <w:t>non-discrimination</w:t>
      </w:r>
      <w:r w:rsidR="00B32DB0">
        <w:rPr>
          <w:lang w:val="en-US"/>
        </w:rPr>
        <w:t xml:space="preserve"> </w:t>
      </w:r>
      <w:r w:rsidR="00062864">
        <w:rPr>
          <w:lang w:val="en-US"/>
        </w:rPr>
        <w:t xml:space="preserve">in </w:t>
      </w:r>
      <w:r w:rsidR="00B32DB0">
        <w:rPr>
          <w:lang w:val="en-US"/>
        </w:rPr>
        <w:t>employment (art. 33)</w:t>
      </w:r>
      <w:r w:rsidR="00062864">
        <w:rPr>
          <w:lang w:val="en-US"/>
        </w:rPr>
        <w:t>, as reinforced in the Labour Code</w:t>
      </w:r>
      <w:r w:rsidR="00CF59D0">
        <w:rPr>
          <w:lang w:val="en-US"/>
        </w:rPr>
        <w:t xml:space="preserve"> (</w:t>
      </w:r>
      <w:r w:rsidR="00062864">
        <w:rPr>
          <w:lang w:val="en-US"/>
        </w:rPr>
        <w:t>2012</w:t>
      </w:r>
      <w:r w:rsidR="00CF59D0">
        <w:rPr>
          <w:lang w:val="en-US"/>
        </w:rPr>
        <w:t>)</w:t>
      </w:r>
      <w:r w:rsidR="008E2F68" w:rsidRPr="008E2F68">
        <w:t>.</w:t>
      </w:r>
      <w:r w:rsidR="008E2F68">
        <w:t xml:space="preserve"> </w:t>
      </w:r>
      <w:r w:rsidR="00502F91" w:rsidRPr="00502F91">
        <w:t xml:space="preserve">However, </w:t>
      </w:r>
      <w:r w:rsidR="00E17C96">
        <w:t>it</w:t>
      </w:r>
      <w:r w:rsidR="00EE6E3F" w:rsidRPr="00264005">
        <w:rPr>
          <w:lang w:val="en-US"/>
        </w:rPr>
        <w:t xml:space="preserve"> </w:t>
      </w:r>
      <w:r w:rsidR="00E17C96">
        <w:rPr>
          <w:lang w:val="en-US"/>
        </w:rPr>
        <w:t>notes with</w:t>
      </w:r>
      <w:r w:rsidR="00EE6E3F">
        <w:rPr>
          <w:lang w:val="en-US"/>
        </w:rPr>
        <w:t xml:space="preserve"> concern that:</w:t>
      </w:r>
    </w:p>
    <w:p w14:paraId="71087D3D" w14:textId="1A3B7F4B" w:rsidR="00EE6E3F" w:rsidRDefault="00EE6E3F" w:rsidP="00F02042">
      <w:pPr>
        <w:pStyle w:val="SingleTxtG"/>
        <w:ind w:firstLine="567"/>
        <w:rPr>
          <w:lang w:val="en-US"/>
        </w:rPr>
      </w:pPr>
      <w:r w:rsidRPr="003B40D5">
        <w:rPr>
          <w:lang w:val="en-US"/>
        </w:rPr>
        <w:t>(a)</w:t>
      </w:r>
      <w:r w:rsidRPr="003B40D5">
        <w:rPr>
          <w:lang w:val="en-US"/>
        </w:rPr>
        <w:tab/>
      </w:r>
      <w:r w:rsidR="00E17C96">
        <w:rPr>
          <w:lang w:val="en-US"/>
        </w:rPr>
        <w:t>Very</w:t>
      </w:r>
      <w:r w:rsidRPr="003B40D5">
        <w:rPr>
          <w:lang w:val="en-US"/>
        </w:rPr>
        <w:t xml:space="preserve"> few women (3</w:t>
      </w:r>
      <w:r w:rsidR="00D46C2F">
        <w:rPr>
          <w:lang w:val="en-US"/>
        </w:rPr>
        <w:t xml:space="preserve"> percent </w:t>
      </w:r>
      <w:r w:rsidRPr="003B40D5">
        <w:rPr>
          <w:lang w:val="en-US"/>
        </w:rPr>
        <w:t>in 2012) are employed in the formal sector</w:t>
      </w:r>
      <w:r w:rsidR="00A60766">
        <w:rPr>
          <w:lang w:val="en-US"/>
        </w:rPr>
        <w:t xml:space="preserve"> </w:t>
      </w:r>
      <w:r w:rsidR="00E17C96">
        <w:rPr>
          <w:lang w:val="en-US"/>
        </w:rPr>
        <w:t xml:space="preserve">and covered by </w:t>
      </w:r>
      <w:r w:rsidR="00A60766">
        <w:rPr>
          <w:lang w:val="en-US"/>
        </w:rPr>
        <w:t xml:space="preserve">social protection, and </w:t>
      </w:r>
      <w:r w:rsidR="00E17C96">
        <w:rPr>
          <w:lang w:val="en-US"/>
        </w:rPr>
        <w:t xml:space="preserve">that women </w:t>
      </w:r>
      <w:r w:rsidRPr="003B40D5">
        <w:rPr>
          <w:lang w:val="en-US"/>
        </w:rPr>
        <w:t xml:space="preserve">are concentrated </w:t>
      </w:r>
      <w:r w:rsidR="00CA6224">
        <w:rPr>
          <w:lang w:val="en-US"/>
        </w:rPr>
        <w:t>in</w:t>
      </w:r>
      <w:r w:rsidR="00CA6224" w:rsidRPr="003B40D5">
        <w:rPr>
          <w:lang w:val="en-US"/>
        </w:rPr>
        <w:t xml:space="preserve"> </w:t>
      </w:r>
      <w:r w:rsidR="00E17C96">
        <w:rPr>
          <w:lang w:val="en-US"/>
        </w:rPr>
        <w:t>low-paid</w:t>
      </w:r>
      <w:r w:rsidRPr="003B40D5">
        <w:rPr>
          <w:lang w:val="en-US"/>
        </w:rPr>
        <w:t xml:space="preserve"> domestic work,</w:t>
      </w:r>
      <w:r w:rsidR="00626A21">
        <w:rPr>
          <w:lang w:val="en-US"/>
        </w:rPr>
        <w:t xml:space="preserve"> where they are often exploited,</w:t>
      </w:r>
      <w:r w:rsidRPr="003B40D5">
        <w:rPr>
          <w:lang w:val="en-US"/>
        </w:rPr>
        <w:t xml:space="preserve"> </w:t>
      </w:r>
      <w:r w:rsidR="00E17C96">
        <w:rPr>
          <w:lang w:val="en-US"/>
        </w:rPr>
        <w:t xml:space="preserve">exposed to precarious </w:t>
      </w:r>
      <w:r w:rsidRPr="003B40D5">
        <w:rPr>
          <w:lang w:val="en-US"/>
        </w:rPr>
        <w:t xml:space="preserve">working conditions </w:t>
      </w:r>
      <w:r w:rsidR="00D46C2F">
        <w:rPr>
          <w:lang w:val="en-US"/>
        </w:rPr>
        <w:t>and</w:t>
      </w:r>
      <w:r>
        <w:rPr>
          <w:lang w:val="en-US"/>
        </w:rPr>
        <w:t xml:space="preserve"> </w:t>
      </w:r>
      <w:r w:rsidRPr="003B40D5">
        <w:rPr>
          <w:lang w:val="en-US"/>
        </w:rPr>
        <w:t xml:space="preserve">subject to </w:t>
      </w:r>
      <w:r>
        <w:rPr>
          <w:lang w:val="en-US"/>
        </w:rPr>
        <w:t>abuse</w:t>
      </w:r>
      <w:r w:rsidR="00E17C96">
        <w:rPr>
          <w:lang w:val="en-US"/>
        </w:rPr>
        <w:t xml:space="preserve"> by their employers</w:t>
      </w:r>
      <w:r w:rsidRPr="003B40D5">
        <w:rPr>
          <w:lang w:val="en-US"/>
        </w:rPr>
        <w:t>;</w:t>
      </w:r>
    </w:p>
    <w:p w14:paraId="6DB974C9" w14:textId="3BAE9477" w:rsidR="00A60766" w:rsidRDefault="00A60766" w:rsidP="00F02042">
      <w:pPr>
        <w:pStyle w:val="SingleTxtG"/>
        <w:ind w:firstLine="567"/>
        <w:rPr>
          <w:u w:val="single"/>
          <w:lang w:val="en-US"/>
        </w:rPr>
      </w:pPr>
      <w:r>
        <w:rPr>
          <w:lang w:val="en-US"/>
        </w:rPr>
        <w:t>(b)</w:t>
      </w:r>
      <w:r>
        <w:rPr>
          <w:lang w:val="en-US"/>
        </w:rPr>
        <w:tab/>
        <w:t xml:space="preserve">The prohibition </w:t>
      </w:r>
      <w:r w:rsidRPr="00A60766">
        <w:rPr>
          <w:lang w:val="en-US"/>
        </w:rPr>
        <w:t xml:space="preserve">of sexual harassment in the workplace </w:t>
      </w:r>
      <w:r w:rsidR="00E17C96">
        <w:rPr>
          <w:lang w:val="en-US"/>
        </w:rPr>
        <w:t xml:space="preserve">in </w:t>
      </w:r>
      <w:r w:rsidR="00626A21">
        <w:rPr>
          <w:lang w:val="en-US"/>
        </w:rPr>
        <w:t>the Labour Code</w:t>
      </w:r>
      <w:r w:rsidR="00E17C96">
        <w:rPr>
          <w:lang w:val="en-US"/>
        </w:rPr>
        <w:t xml:space="preserve"> </w:t>
      </w:r>
      <w:r w:rsidRPr="00A60766">
        <w:rPr>
          <w:lang w:val="en-US"/>
        </w:rPr>
        <w:t>is limited to individuals exercising authority</w:t>
      </w:r>
      <w:r>
        <w:rPr>
          <w:lang w:val="en-US"/>
        </w:rPr>
        <w:t xml:space="preserve"> </w:t>
      </w:r>
      <w:r w:rsidR="00DF199E">
        <w:rPr>
          <w:lang w:val="en-US"/>
        </w:rPr>
        <w:t xml:space="preserve">and does not include co-workers, </w:t>
      </w:r>
      <w:r>
        <w:rPr>
          <w:lang w:val="en-US"/>
        </w:rPr>
        <w:t xml:space="preserve">and there is </w:t>
      </w:r>
      <w:r w:rsidR="00E17C96">
        <w:rPr>
          <w:lang w:val="en-US"/>
        </w:rPr>
        <w:t>limited</w:t>
      </w:r>
      <w:r>
        <w:rPr>
          <w:lang w:val="en-US"/>
        </w:rPr>
        <w:t xml:space="preserve"> knowledge </w:t>
      </w:r>
      <w:r w:rsidR="00E17C96">
        <w:rPr>
          <w:lang w:val="en-US"/>
        </w:rPr>
        <w:t>about</w:t>
      </w:r>
      <w:r>
        <w:rPr>
          <w:lang w:val="en-US"/>
        </w:rPr>
        <w:t xml:space="preserve"> </w:t>
      </w:r>
      <w:r w:rsidR="00E17C96">
        <w:rPr>
          <w:lang w:val="en-US"/>
        </w:rPr>
        <w:t xml:space="preserve">the </w:t>
      </w:r>
      <w:r>
        <w:rPr>
          <w:lang w:val="en-US"/>
        </w:rPr>
        <w:t>remedies available to victims;</w:t>
      </w:r>
      <w:r w:rsidR="00D46C2F">
        <w:rPr>
          <w:lang w:val="en-US"/>
        </w:rPr>
        <w:t xml:space="preserve"> and,</w:t>
      </w:r>
    </w:p>
    <w:p w14:paraId="7EC224F3" w14:textId="41A76466" w:rsidR="00EE6E3F" w:rsidRDefault="00A60766" w:rsidP="00F02042">
      <w:pPr>
        <w:pStyle w:val="SingleTxtG"/>
        <w:ind w:firstLine="567"/>
        <w:rPr>
          <w:lang w:val="en-US"/>
        </w:rPr>
      </w:pPr>
      <w:r>
        <w:rPr>
          <w:lang w:val="en-US"/>
        </w:rPr>
        <w:t>(c</w:t>
      </w:r>
      <w:r w:rsidR="00EE6E3F">
        <w:rPr>
          <w:lang w:val="en-US"/>
        </w:rPr>
        <w:t>)</w:t>
      </w:r>
      <w:r w:rsidR="00EE6E3F">
        <w:rPr>
          <w:lang w:val="en-US"/>
        </w:rPr>
        <w:tab/>
        <w:t>Article 109 of the Labour Code</w:t>
      </w:r>
      <w:r w:rsidR="00092DFB">
        <w:rPr>
          <w:lang w:val="en-US"/>
        </w:rPr>
        <w:t xml:space="preserve"> on the protection of maternity</w:t>
      </w:r>
      <w:r w:rsidR="001B7ECF">
        <w:rPr>
          <w:lang w:val="en-US"/>
        </w:rPr>
        <w:t xml:space="preserve"> may be inter</w:t>
      </w:r>
      <w:r w:rsidR="00EE6E3F">
        <w:rPr>
          <w:lang w:val="en-US"/>
        </w:rPr>
        <w:t>preted in an overly broad manner to prohibit women from exercising certain p</w:t>
      </w:r>
      <w:r w:rsidR="00D46C2F">
        <w:rPr>
          <w:lang w:val="en-US"/>
        </w:rPr>
        <w:t xml:space="preserve">rofessions based on </w:t>
      </w:r>
      <w:r w:rsidR="00F343B3">
        <w:rPr>
          <w:lang w:val="en-US"/>
        </w:rPr>
        <w:t xml:space="preserve">discriminatory </w:t>
      </w:r>
      <w:r w:rsidR="00D46C2F">
        <w:rPr>
          <w:lang w:val="en-US"/>
        </w:rPr>
        <w:t>stereotypes.</w:t>
      </w:r>
    </w:p>
    <w:p w14:paraId="791067B3" w14:textId="77777777" w:rsidR="00EE6E3F" w:rsidRPr="00F02042" w:rsidRDefault="008B3602" w:rsidP="00F02042">
      <w:pPr>
        <w:pStyle w:val="SingleTxtG"/>
        <w:rPr>
          <w:b/>
          <w:lang w:val="en-US"/>
        </w:rPr>
      </w:pPr>
      <w:r w:rsidRPr="00F02042">
        <w:rPr>
          <w:lang w:val="en-US"/>
        </w:rPr>
        <w:t>31</w:t>
      </w:r>
      <w:r w:rsidR="00EE6E3F" w:rsidRPr="00F02042">
        <w:rPr>
          <w:lang w:val="en-US"/>
        </w:rPr>
        <w:t>.</w:t>
      </w:r>
      <w:r w:rsidR="00EE6E3F" w:rsidRPr="00F02042">
        <w:rPr>
          <w:lang w:val="en-US"/>
        </w:rPr>
        <w:tab/>
      </w:r>
      <w:r w:rsidR="00EE6E3F" w:rsidRPr="00F02042">
        <w:rPr>
          <w:b/>
          <w:lang w:val="en-US"/>
        </w:rPr>
        <w:t>The Committee recommends that the State party:</w:t>
      </w:r>
    </w:p>
    <w:p w14:paraId="05672DC0" w14:textId="51AE0099" w:rsidR="00CA6224" w:rsidRPr="00F02042" w:rsidRDefault="00EE6E3F" w:rsidP="00F02042">
      <w:pPr>
        <w:pStyle w:val="SingleTxtG"/>
        <w:rPr>
          <w:b/>
          <w:lang w:val="en-US"/>
        </w:rPr>
      </w:pPr>
      <w:r w:rsidRPr="00F02042">
        <w:rPr>
          <w:b/>
          <w:lang w:val="en-US"/>
        </w:rPr>
        <w:tab/>
      </w:r>
      <w:r w:rsidR="00CA6224" w:rsidRPr="00F02042">
        <w:rPr>
          <w:b/>
          <w:lang w:val="en-US"/>
        </w:rPr>
        <w:t>(a)</w:t>
      </w:r>
      <w:r w:rsidR="00CA6224" w:rsidRPr="00F02042">
        <w:rPr>
          <w:b/>
          <w:lang w:val="en-US"/>
        </w:rPr>
        <w:tab/>
        <w:t xml:space="preserve">Improve women’s access to the formal labour market </w:t>
      </w:r>
      <w:r w:rsidR="00F343B3" w:rsidRPr="00F02042">
        <w:rPr>
          <w:b/>
          <w:lang w:val="en-US"/>
        </w:rPr>
        <w:t>through</w:t>
      </w:r>
      <w:r w:rsidR="00CA6224" w:rsidRPr="00F02042">
        <w:rPr>
          <w:b/>
          <w:lang w:val="en-US"/>
        </w:rPr>
        <w:t xml:space="preserve"> measures, including temporary special measures, in line with article 4(1) of the Convention, and the Committee’s general recommendation No. 25, such as creating incentives for </w:t>
      </w:r>
      <w:r w:rsidR="003978E0" w:rsidRPr="00F02042">
        <w:rPr>
          <w:b/>
          <w:lang w:val="en-US"/>
        </w:rPr>
        <w:t xml:space="preserve">both public and private sector </w:t>
      </w:r>
      <w:r w:rsidR="00CA6224" w:rsidRPr="00F02042">
        <w:rPr>
          <w:b/>
          <w:lang w:val="en-US"/>
        </w:rPr>
        <w:t>employers to recruit women, introducing flexible work arrangements and strengthening professional training for women</w:t>
      </w:r>
      <w:r w:rsidR="003978E0" w:rsidRPr="00F02042">
        <w:rPr>
          <w:b/>
          <w:lang w:val="en-US"/>
        </w:rPr>
        <w:t>;</w:t>
      </w:r>
    </w:p>
    <w:p w14:paraId="6252CBA1" w14:textId="1B59C22E" w:rsidR="003978E0" w:rsidRPr="00F02042" w:rsidRDefault="003978E0" w:rsidP="00F02042">
      <w:pPr>
        <w:pStyle w:val="SingleTxtG"/>
        <w:rPr>
          <w:b/>
          <w:lang w:val="en-US"/>
        </w:rPr>
      </w:pPr>
      <w:r w:rsidRPr="00F02042">
        <w:rPr>
          <w:b/>
          <w:lang w:val="en-US"/>
        </w:rPr>
        <w:tab/>
        <w:t>(b)</w:t>
      </w:r>
      <w:r w:rsidRPr="00F02042">
        <w:rPr>
          <w:b/>
          <w:lang w:val="en-US"/>
        </w:rPr>
        <w:tab/>
        <w:t xml:space="preserve">Ensure the application of social </w:t>
      </w:r>
      <w:r w:rsidR="00F343B3" w:rsidRPr="00F02042">
        <w:rPr>
          <w:b/>
          <w:lang w:val="en-US"/>
        </w:rPr>
        <w:t>protection</w:t>
      </w:r>
      <w:r w:rsidRPr="00F02042">
        <w:rPr>
          <w:b/>
          <w:lang w:val="en-US"/>
        </w:rPr>
        <w:t xml:space="preserve"> schemes to all women</w:t>
      </w:r>
      <w:r w:rsidR="001B7ECF" w:rsidRPr="00F02042">
        <w:rPr>
          <w:b/>
          <w:lang w:val="en-US"/>
        </w:rPr>
        <w:t xml:space="preserve">, including those </w:t>
      </w:r>
      <w:r w:rsidR="00F343B3" w:rsidRPr="00F02042">
        <w:rPr>
          <w:b/>
          <w:lang w:val="en-US"/>
        </w:rPr>
        <w:t xml:space="preserve">working </w:t>
      </w:r>
      <w:r w:rsidR="001B7ECF" w:rsidRPr="00F02042">
        <w:rPr>
          <w:b/>
          <w:lang w:val="en-US"/>
        </w:rPr>
        <w:t>in the informal sector</w:t>
      </w:r>
      <w:r w:rsidRPr="00F02042">
        <w:rPr>
          <w:b/>
          <w:lang w:val="en-US"/>
        </w:rPr>
        <w:t>;</w:t>
      </w:r>
    </w:p>
    <w:p w14:paraId="1D5AD820" w14:textId="5D7B14F5" w:rsidR="003978E0" w:rsidRPr="00F02042" w:rsidRDefault="003978E0" w:rsidP="00F02042">
      <w:pPr>
        <w:pStyle w:val="SingleTxtG"/>
        <w:rPr>
          <w:b/>
          <w:i/>
          <w:lang w:val="en-US"/>
        </w:rPr>
      </w:pPr>
      <w:r w:rsidRPr="00F02042">
        <w:rPr>
          <w:b/>
          <w:lang w:val="en-US"/>
        </w:rPr>
        <w:tab/>
        <w:t>(c)</w:t>
      </w:r>
      <w:r w:rsidRPr="00F02042">
        <w:rPr>
          <w:b/>
          <w:lang w:val="en-US"/>
        </w:rPr>
        <w:tab/>
        <w:t>Carry out inspections, including</w:t>
      </w:r>
      <w:r w:rsidR="00F343B3" w:rsidRPr="00F02042">
        <w:rPr>
          <w:b/>
          <w:lang w:val="en-US"/>
        </w:rPr>
        <w:t xml:space="preserve"> when there are reasonable grounds to believe that violations are taking place</w:t>
      </w:r>
      <w:r w:rsidRPr="00F02042">
        <w:rPr>
          <w:b/>
          <w:lang w:val="en-US"/>
        </w:rPr>
        <w:t xml:space="preserve"> in private homes, combat exploitative labour practices </w:t>
      </w:r>
      <w:r w:rsidR="00F343B3" w:rsidRPr="00F02042">
        <w:rPr>
          <w:b/>
          <w:lang w:val="en-US"/>
        </w:rPr>
        <w:t xml:space="preserve">against women </w:t>
      </w:r>
      <w:r w:rsidRPr="00F02042">
        <w:rPr>
          <w:b/>
          <w:lang w:val="en-US"/>
        </w:rPr>
        <w:t>and ensure that perpetrators are appropriately sanctioned;</w:t>
      </w:r>
    </w:p>
    <w:p w14:paraId="41220809" w14:textId="495B9634" w:rsidR="00A60766" w:rsidRPr="00F02042" w:rsidRDefault="00CA6224" w:rsidP="00F02042">
      <w:pPr>
        <w:pStyle w:val="SingleTxtG"/>
        <w:rPr>
          <w:b/>
          <w:lang w:val="en-US"/>
        </w:rPr>
      </w:pPr>
      <w:r w:rsidRPr="00F02042">
        <w:rPr>
          <w:b/>
          <w:lang w:val="en-US"/>
        </w:rPr>
        <w:tab/>
      </w:r>
      <w:r w:rsidR="003978E0" w:rsidRPr="00F02042">
        <w:rPr>
          <w:b/>
          <w:lang w:val="en-US"/>
        </w:rPr>
        <w:t>(d)</w:t>
      </w:r>
      <w:r w:rsidR="003978E0" w:rsidRPr="00F02042">
        <w:rPr>
          <w:b/>
          <w:lang w:val="en-US"/>
        </w:rPr>
        <w:tab/>
        <w:t xml:space="preserve">Amend </w:t>
      </w:r>
      <w:r w:rsidR="00F343B3" w:rsidRPr="00F02042">
        <w:rPr>
          <w:b/>
          <w:lang w:val="en-US"/>
        </w:rPr>
        <w:t xml:space="preserve">article 45 of the </w:t>
      </w:r>
      <w:r w:rsidR="003978E0" w:rsidRPr="00F02042">
        <w:rPr>
          <w:b/>
          <w:lang w:val="en-US"/>
        </w:rPr>
        <w:t xml:space="preserve">Labour Code to </w:t>
      </w:r>
      <w:r w:rsidR="00A60766" w:rsidRPr="00F02042">
        <w:rPr>
          <w:b/>
          <w:lang w:val="en-US"/>
        </w:rPr>
        <w:t>broaden the</w:t>
      </w:r>
      <w:r w:rsidR="004875CA" w:rsidRPr="00F02042">
        <w:rPr>
          <w:b/>
          <w:lang w:val="en-US"/>
        </w:rPr>
        <w:t xml:space="preserve"> definition of sexual harassment and</w:t>
      </w:r>
      <w:r w:rsidR="00A60766" w:rsidRPr="00F02042">
        <w:rPr>
          <w:b/>
          <w:lang w:val="en-US"/>
        </w:rPr>
        <w:t xml:space="preserve"> </w:t>
      </w:r>
      <w:r w:rsidR="00F343B3" w:rsidRPr="00F02042">
        <w:rPr>
          <w:b/>
          <w:lang w:val="en-US"/>
        </w:rPr>
        <w:t xml:space="preserve">the </w:t>
      </w:r>
      <w:r w:rsidR="00A60766" w:rsidRPr="00F02042">
        <w:rPr>
          <w:b/>
          <w:lang w:val="en-US"/>
        </w:rPr>
        <w:t xml:space="preserve">scope of persons to whom </w:t>
      </w:r>
      <w:r w:rsidR="004875CA" w:rsidRPr="00F02042">
        <w:rPr>
          <w:b/>
          <w:lang w:val="en-US"/>
        </w:rPr>
        <w:t>it</w:t>
      </w:r>
      <w:r w:rsidR="00A60766" w:rsidRPr="00F02042">
        <w:rPr>
          <w:b/>
          <w:lang w:val="en-US"/>
        </w:rPr>
        <w:t xml:space="preserve"> appl</w:t>
      </w:r>
      <w:r w:rsidR="004875CA" w:rsidRPr="00F02042">
        <w:rPr>
          <w:b/>
          <w:lang w:val="en-US"/>
        </w:rPr>
        <w:t>ies</w:t>
      </w:r>
      <w:r w:rsidR="003978E0" w:rsidRPr="00F02042">
        <w:rPr>
          <w:b/>
          <w:lang w:val="en-US"/>
        </w:rPr>
        <w:t>, rais</w:t>
      </w:r>
      <w:r w:rsidR="004875CA" w:rsidRPr="00F02042">
        <w:rPr>
          <w:b/>
          <w:lang w:val="en-US"/>
        </w:rPr>
        <w:t>ing</w:t>
      </w:r>
      <w:r w:rsidR="003978E0" w:rsidRPr="00F02042">
        <w:rPr>
          <w:b/>
          <w:lang w:val="en-US"/>
        </w:rPr>
        <w:t xml:space="preserve"> </w:t>
      </w:r>
      <w:r w:rsidR="00A60766" w:rsidRPr="00F02042">
        <w:rPr>
          <w:b/>
          <w:lang w:val="en-US"/>
        </w:rPr>
        <w:t>awareness of th</w:t>
      </w:r>
      <w:r w:rsidR="003978E0" w:rsidRPr="00F02042">
        <w:rPr>
          <w:b/>
          <w:lang w:val="en-US"/>
        </w:rPr>
        <w:t>e remedies available to victims</w:t>
      </w:r>
      <w:r w:rsidR="001B7ECF" w:rsidRPr="00F02042">
        <w:rPr>
          <w:b/>
          <w:lang w:val="en-US"/>
        </w:rPr>
        <w:t>,</w:t>
      </w:r>
      <w:r w:rsidR="003978E0" w:rsidRPr="00F02042">
        <w:rPr>
          <w:b/>
          <w:lang w:val="en-US"/>
        </w:rPr>
        <w:t xml:space="preserve"> and</w:t>
      </w:r>
      <w:r w:rsidR="001B7ECF" w:rsidRPr="00F02042">
        <w:rPr>
          <w:b/>
          <w:lang w:val="en-US"/>
        </w:rPr>
        <w:t xml:space="preserve"> </w:t>
      </w:r>
      <w:r w:rsidR="004875CA" w:rsidRPr="00F02042">
        <w:rPr>
          <w:b/>
          <w:lang w:val="en-US"/>
        </w:rPr>
        <w:t xml:space="preserve">amend </w:t>
      </w:r>
      <w:r w:rsidR="001B7ECF" w:rsidRPr="00F02042">
        <w:rPr>
          <w:b/>
          <w:lang w:val="en-US"/>
        </w:rPr>
        <w:t>A</w:t>
      </w:r>
      <w:r w:rsidR="003978E0" w:rsidRPr="00F02042">
        <w:rPr>
          <w:b/>
          <w:lang w:val="en-US"/>
        </w:rPr>
        <w:t>rticle 109</w:t>
      </w:r>
      <w:r w:rsidR="00A60766" w:rsidRPr="00F02042">
        <w:rPr>
          <w:b/>
          <w:lang w:val="en-US"/>
        </w:rPr>
        <w:t xml:space="preserve"> </w:t>
      </w:r>
      <w:r w:rsidR="00F343B3" w:rsidRPr="00F02042">
        <w:rPr>
          <w:b/>
          <w:lang w:val="en-US"/>
        </w:rPr>
        <w:t xml:space="preserve">of the Labour Code on </w:t>
      </w:r>
      <w:r w:rsidR="00092DFB" w:rsidRPr="00F02042">
        <w:rPr>
          <w:b/>
          <w:lang w:val="en-US"/>
        </w:rPr>
        <w:t>maternity</w:t>
      </w:r>
      <w:r w:rsidR="00F343B3" w:rsidRPr="00F02042">
        <w:rPr>
          <w:b/>
          <w:lang w:val="en-US"/>
        </w:rPr>
        <w:t xml:space="preserve"> </w:t>
      </w:r>
      <w:r w:rsidR="001B7ECF" w:rsidRPr="00F02042">
        <w:rPr>
          <w:b/>
          <w:lang w:val="en-US"/>
        </w:rPr>
        <w:t xml:space="preserve">to </w:t>
      </w:r>
      <w:r w:rsidR="003978E0" w:rsidRPr="00F02042">
        <w:rPr>
          <w:b/>
          <w:lang w:val="en-US"/>
        </w:rPr>
        <w:t>r</w:t>
      </w:r>
      <w:r w:rsidR="00A60766" w:rsidRPr="00F02042">
        <w:rPr>
          <w:b/>
          <w:lang w:val="en-US"/>
        </w:rPr>
        <w:t xml:space="preserve">estrict </w:t>
      </w:r>
      <w:r w:rsidR="003978E0" w:rsidRPr="00F02042">
        <w:rPr>
          <w:b/>
          <w:lang w:val="en-US"/>
        </w:rPr>
        <w:t>its application to maternity</w:t>
      </w:r>
      <w:r w:rsidR="001B7ECF" w:rsidRPr="00F02042">
        <w:rPr>
          <w:b/>
          <w:lang w:val="en-US"/>
        </w:rPr>
        <w:t xml:space="preserve"> and not to women in general; and,</w:t>
      </w:r>
    </w:p>
    <w:p w14:paraId="519B14E4" w14:textId="4D79D33C" w:rsidR="003978E0" w:rsidRPr="00F02042" w:rsidRDefault="003978E0" w:rsidP="00F02042">
      <w:pPr>
        <w:pStyle w:val="SingleTxtG"/>
        <w:rPr>
          <w:b/>
          <w:lang w:val="en-US"/>
        </w:rPr>
      </w:pPr>
      <w:r w:rsidRPr="00F02042">
        <w:rPr>
          <w:b/>
          <w:lang w:val="en-US"/>
        </w:rPr>
        <w:tab/>
        <w:t>(</w:t>
      </w:r>
      <w:r w:rsidR="00A33FE0">
        <w:rPr>
          <w:b/>
          <w:lang w:val="en-US"/>
        </w:rPr>
        <w:t>e</w:t>
      </w:r>
      <w:r w:rsidRPr="00F02042">
        <w:rPr>
          <w:b/>
          <w:lang w:val="en-US"/>
        </w:rPr>
        <w:t>)</w:t>
      </w:r>
      <w:r w:rsidRPr="00F02042">
        <w:rPr>
          <w:b/>
          <w:lang w:val="en-US"/>
        </w:rPr>
        <w:tab/>
      </w:r>
      <w:r w:rsidR="00F343B3" w:rsidRPr="00F02042">
        <w:rPr>
          <w:b/>
          <w:lang w:val="en-US"/>
        </w:rPr>
        <w:t>Ratify or a</w:t>
      </w:r>
      <w:r w:rsidRPr="00F02042">
        <w:rPr>
          <w:b/>
          <w:lang w:val="en-US"/>
        </w:rPr>
        <w:t xml:space="preserve">ccede to ILO </w:t>
      </w:r>
      <w:r w:rsidR="00F343B3" w:rsidRPr="00F02042">
        <w:rPr>
          <w:b/>
          <w:lang w:val="en-US"/>
        </w:rPr>
        <w:t>No. 189 (2011) concerning decent work for d</w:t>
      </w:r>
      <w:r w:rsidRPr="00F02042">
        <w:rPr>
          <w:b/>
          <w:lang w:val="en-US"/>
        </w:rPr>
        <w:t xml:space="preserve">omestic </w:t>
      </w:r>
      <w:r w:rsidR="00F343B3" w:rsidRPr="00F02042">
        <w:rPr>
          <w:b/>
          <w:lang w:val="en-US"/>
        </w:rPr>
        <w:t>w</w:t>
      </w:r>
      <w:r w:rsidRPr="00F02042">
        <w:rPr>
          <w:b/>
          <w:lang w:val="en-US"/>
        </w:rPr>
        <w:t xml:space="preserve">orkers. </w:t>
      </w:r>
    </w:p>
    <w:p w14:paraId="457D3D94" w14:textId="599E22BA" w:rsidR="00EE6E3F" w:rsidRPr="00876DAE" w:rsidRDefault="00EE6E3F" w:rsidP="00EE6E3F">
      <w:pPr>
        <w:pStyle w:val="H23G"/>
        <w:ind w:firstLine="0"/>
        <w:jc w:val="both"/>
        <w:rPr>
          <w:lang w:val="en-US"/>
        </w:rPr>
      </w:pPr>
      <w:r w:rsidRPr="00876DAE">
        <w:rPr>
          <w:lang w:val="en-US"/>
        </w:rPr>
        <w:t>Health</w:t>
      </w:r>
    </w:p>
    <w:p w14:paraId="70B02CEE" w14:textId="0326E0B4" w:rsidR="00EE6E3F" w:rsidRPr="00F02042" w:rsidRDefault="008B3602" w:rsidP="00F02042">
      <w:pPr>
        <w:pStyle w:val="SingleTxtG"/>
      </w:pPr>
      <w:r w:rsidRPr="00F02042">
        <w:t>32</w:t>
      </w:r>
      <w:r w:rsidR="00EE6E3F" w:rsidRPr="00F02042">
        <w:t>.</w:t>
      </w:r>
      <w:r w:rsidR="00EE6E3F" w:rsidRPr="00F02042">
        <w:tab/>
        <w:t xml:space="preserve">The Committee </w:t>
      </w:r>
      <w:r w:rsidR="00323DB6" w:rsidRPr="00F02042">
        <w:t>notes</w:t>
      </w:r>
      <w:r w:rsidR="00EE6E3F" w:rsidRPr="00F02042">
        <w:t xml:space="preserve"> </w:t>
      </w:r>
      <w:r w:rsidR="00323DB6" w:rsidRPr="00F02042">
        <w:t xml:space="preserve">the </w:t>
      </w:r>
      <w:r w:rsidR="00EE6E3F" w:rsidRPr="00F02042">
        <w:t>reduc</w:t>
      </w:r>
      <w:r w:rsidR="00323DB6" w:rsidRPr="00F02042">
        <w:t>tion in</w:t>
      </w:r>
      <w:r w:rsidR="00EE6E3F" w:rsidRPr="00F02042">
        <w:t xml:space="preserve"> </w:t>
      </w:r>
      <w:r w:rsidR="008F2F00" w:rsidRPr="00F02042">
        <w:t xml:space="preserve">the </w:t>
      </w:r>
      <w:r w:rsidR="00EE6E3F" w:rsidRPr="00F02042">
        <w:t>maternal, infant and child mortality rates</w:t>
      </w:r>
      <w:r w:rsidR="00323DB6" w:rsidRPr="00F02042">
        <w:t xml:space="preserve">, the introduction </w:t>
      </w:r>
      <w:r w:rsidR="00EE6E3F" w:rsidRPr="00F02042">
        <w:t>of free care for children under five years of age as well as for specific</w:t>
      </w:r>
      <w:r w:rsidR="00323DB6" w:rsidRPr="00F02042">
        <w:t xml:space="preserve"> services for women</w:t>
      </w:r>
      <w:r w:rsidR="008F2F00" w:rsidRPr="00F02042">
        <w:t xml:space="preserve"> in the State party</w:t>
      </w:r>
      <w:r w:rsidR="00323DB6" w:rsidRPr="00F02042">
        <w:t>.</w:t>
      </w:r>
      <w:r w:rsidR="00EE6E3F" w:rsidRPr="00F02042">
        <w:t xml:space="preserve"> However, the Committee is concerned about:</w:t>
      </w:r>
    </w:p>
    <w:p w14:paraId="31B8A252" w14:textId="00F690BE" w:rsidR="00EE6E3F" w:rsidRPr="00F02042" w:rsidRDefault="00F02042" w:rsidP="00F02042">
      <w:pPr>
        <w:pStyle w:val="SingleTxtG"/>
      </w:pPr>
      <w:r>
        <w:tab/>
        <w:t>(a)</w:t>
      </w:r>
      <w:r>
        <w:tab/>
      </w:r>
      <w:r w:rsidR="008F2F00" w:rsidRPr="00F02042">
        <w:t>The i</w:t>
      </w:r>
      <w:r w:rsidR="00EE6E3F" w:rsidRPr="00F02042">
        <w:t>nadequate funding of the health-care sector, resulting in limited access to basic health-care services</w:t>
      </w:r>
      <w:r w:rsidR="00EE15E3" w:rsidRPr="00F02042">
        <w:t xml:space="preserve"> </w:t>
      </w:r>
      <w:r w:rsidR="00EE6E3F" w:rsidRPr="00F02042">
        <w:t>in particular among poor, rural and nomadic women,</w:t>
      </w:r>
      <w:r w:rsidR="000F79D5" w:rsidRPr="000F79D5">
        <w:t xml:space="preserve"> the lack of cancer prevention programmes</w:t>
      </w:r>
      <w:r w:rsidR="000F79D5">
        <w:t>,</w:t>
      </w:r>
      <w:r w:rsidR="00EE6E3F" w:rsidRPr="00F02042">
        <w:t xml:space="preserve"> as well as </w:t>
      </w:r>
      <w:r w:rsidR="000F79D5">
        <w:t>limited</w:t>
      </w:r>
      <w:r w:rsidR="00EE6E3F" w:rsidRPr="00F02042">
        <w:t xml:space="preserve"> sexual and reproductive health care services, information, and modern </w:t>
      </w:r>
      <w:r w:rsidR="008F2F00" w:rsidRPr="00F02042">
        <w:t xml:space="preserve">forms of </w:t>
      </w:r>
      <w:r w:rsidR="00EE6E3F" w:rsidRPr="00F02042">
        <w:t>contracepti</w:t>
      </w:r>
      <w:r w:rsidR="008F2F00" w:rsidRPr="00F02042">
        <w:t>on</w:t>
      </w:r>
      <w:r w:rsidR="00EE6E3F" w:rsidRPr="00F02042">
        <w:t xml:space="preserve">, including </w:t>
      </w:r>
      <w:r w:rsidR="008F2F00" w:rsidRPr="00F02042">
        <w:t>for</w:t>
      </w:r>
      <w:r w:rsidR="00EE6E3F" w:rsidRPr="00F02042">
        <w:t xml:space="preserve"> adolescent</w:t>
      </w:r>
      <w:r w:rsidR="008F2F00" w:rsidRPr="00F02042">
        <w:t xml:space="preserve"> girl</w:t>
      </w:r>
      <w:r w:rsidR="00EE6E3F" w:rsidRPr="00F02042">
        <w:t>s;</w:t>
      </w:r>
    </w:p>
    <w:p w14:paraId="1337E102" w14:textId="70D11EBD" w:rsidR="00EE6E3F" w:rsidRPr="00F02042" w:rsidRDefault="00EE6E3F" w:rsidP="00F02042">
      <w:pPr>
        <w:pStyle w:val="SingleTxtG"/>
      </w:pPr>
      <w:r w:rsidRPr="00F02042">
        <w:tab/>
        <w:t>(b)</w:t>
      </w:r>
      <w:r w:rsidRPr="00F02042">
        <w:tab/>
      </w:r>
      <w:r w:rsidR="008F2F00" w:rsidRPr="00F02042">
        <w:t>The e</w:t>
      </w:r>
      <w:r w:rsidRPr="00F02042">
        <w:t>xtremely high rates of maternal mortality, fertility</w:t>
      </w:r>
      <w:r w:rsidR="00DE7795" w:rsidRPr="00F02042">
        <w:t xml:space="preserve"> (7.6 children per wom</w:t>
      </w:r>
      <w:r w:rsidR="008F2F00" w:rsidRPr="00F02042">
        <w:t>a</w:t>
      </w:r>
      <w:r w:rsidR="00DE7795" w:rsidRPr="00F02042">
        <w:t>n)</w:t>
      </w:r>
      <w:r w:rsidR="00EE15E3" w:rsidRPr="00F02042">
        <w:t>, early</w:t>
      </w:r>
      <w:r w:rsidRPr="00F02042">
        <w:t xml:space="preserve"> and frequent pregnancy and the resulting </w:t>
      </w:r>
      <w:r w:rsidR="00DF199E">
        <w:t>incidences</w:t>
      </w:r>
      <w:r w:rsidR="00DF199E" w:rsidRPr="00F02042">
        <w:t xml:space="preserve"> </w:t>
      </w:r>
      <w:r w:rsidR="00DF199E">
        <w:t>of</w:t>
      </w:r>
      <w:r w:rsidR="00DF199E" w:rsidRPr="00F02042">
        <w:t xml:space="preserve"> </w:t>
      </w:r>
      <w:r w:rsidRPr="00F02042">
        <w:t>obstetric fistula, and acute malnutrition affecting women;</w:t>
      </w:r>
    </w:p>
    <w:p w14:paraId="61BFCC90" w14:textId="155E9C9B" w:rsidR="00EE6E3F" w:rsidRPr="00F02042" w:rsidRDefault="00EE6E3F" w:rsidP="00F02042">
      <w:pPr>
        <w:pStyle w:val="SingleTxtG"/>
      </w:pPr>
      <w:r w:rsidRPr="00F02042">
        <w:tab/>
        <w:t>(c)</w:t>
      </w:r>
      <w:r w:rsidRPr="00F02042">
        <w:tab/>
      </w:r>
      <w:r w:rsidR="008F2F00" w:rsidRPr="00F02042">
        <w:t>The p</w:t>
      </w:r>
      <w:r w:rsidRPr="00F02042">
        <w:t xml:space="preserve">ersisting economic and sociocultural </w:t>
      </w:r>
      <w:r w:rsidR="008F2F00" w:rsidRPr="00F02042">
        <w:t>causes</w:t>
      </w:r>
      <w:r w:rsidRPr="00F02042">
        <w:t xml:space="preserve"> </w:t>
      </w:r>
      <w:r w:rsidR="008F2F00" w:rsidRPr="00F02042">
        <w:t xml:space="preserve">of women’s </w:t>
      </w:r>
      <w:r w:rsidRPr="00F02042">
        <w:t>poor health in the State party, including early and forced marriage, female genital mutilation,</w:t>
      </w:r>
      <w:r w:rsidR="00323DB6" w:rsidRPr="00F02042">
        <w:t xml:space="preserve"> the requirement of </w:t>
      </w:r>
      <w:r w:rsidR="00626A21" w:rsidRPr="00F02042">
        <w:t>the husband’s</w:t>
      </w:r>
      <w:r w:rsidR="00DE44DB" w:rsidRPr="00F02042">
        <w:t xml:space="preserve"> </w:t>
      </w:r>
      <w:r w:rsidR="00323DB6" w:rsidRPr="00F02042">
        <w:t xml:space="preserve">permission </w:t>
      </w:r>
      <w:r w:rsidR="00DE44DB" w:rsidRPr="00F02042">
        <w:t xml:space="preserve">for a woman </w:t>
      </w:r>
      <w:r w:rsidRPr="00F02042">
        <w:t xml:space="preserve">to seek </w:t>
      </w:r>
      <w:r w:rsidR="00DE44DB" w:rsidRPr="00F02042">
        <w:t xml:space="preserve">medical </w:t>
      </w:r>
      <w:r w:rsidRPr="00F02042">
        <w:t xml:space="preserve">treatment and </w:t>
      </w:r>
      <w:r w:rsidR="00DE44DB" w:rsidRPr="00F02042">
        <w:t>women’s frequent</w:t>
      </w:r>
      <w:r w:rsidRPr="00F02042">
        <w:t xml:space="preserve"> inability to afford both the </w:t>
      </w:r>
      <w:r w:rsidR="00626A21" w:rsidRPr="00F02042">
        <w:t xml:space="preserve">cost of the </w:t>
      </w:r>
      <w:r w:rsidRPr="00F02042">
        <w:t xml:space="preserve">transportation </w:t>
      </w:r>
      <w:r w:rsidR="00626A21" w:rsidRPr="00F02042">
        <w:t xml:space="preserve">and </w:t>
      </w:r>
      <w:r w:rsidRPr="00F02042">
        <w:t>the treatment;</w:t>
      </w:r>
      <w:r w:rsidR="00323DB6" w:rsidRPr="00F02042">
        <w:t xml:space="preserve"> and,</w:t>
      </w:r>
    </w:p>
    <w:p w14:paraId="16178B0E" w14:textId="230B5D40" w:rsidR="00EE6E3F" w:rsidRPr="00F02042" w:rsidRDefault="00EE6E3F" w:rsidP="00F02042">
      <w:pPr>
        <w:pStyle w:val="SingleTxtG"/>
      </w:pPr>
      <w:r w:rsidRPr="00F02042">
        <w:tab/>
        <w:t>(d)</w:t>
      </w:r>
      <w:r w:rsidRPr="00F02042">
        <w:tab/>
        <w:t xml:space="preserve">Criminalization of abortion, subjecting both the women procuring an abortion and any person assisting her to </w:t>
      </w:r>
      <w:r w:rsidR="00AA2A25" w:rsidRPr="00F02042">
        <w:t>criminal liability</w:t>
      </w:r>
      <w:r w:rsidRPr="00F02042">
        <w:t xml:space="preserve"> (Art. 295-297 of the Penal Code), as well as the </w:t>
      </w:r>
      <w:r w:rsidR="001E7167" w:rsidRPr="00F02042">
        <w:t>barriers</w:t>
      </w:r>
      <w:r w:rsidRPr="00F02042">
        <w:t xml:space="preserve"> to acces</w:t>
      </w:r>
      <w:r w:rsidR="001E7167" w:rsidRPr="00F02042">
        <w:t>s</w:t>
      </w:r>
      <w:r w:rsidR="00F02042" w:rsidRPr="00F02042">
        <w:t xml:space="preserve"> </w:t>
      </w:r>
      <w:r w:rsidR="001E7167" w:rsidRPr="00F02042">
        <w:t xml:space="preserve">abortion where </w:t>
      </w:r>
      <w:r w:rsidR="00AA2A25" w:rsidRPr="00F02042">
        <w:t xml:space="preserve">it is </w:t>
      </w:r>
      <w:r w:rsidR="001E7167" w:rsidRPr="00F02042">
        <w:t>legal</w:t>
      </w:r>
      <w:r w:rsidR="00AA2A25" w:rsidRPr="00F02042">
        <w:t xml:space="preserve">, </w:t>
      </w:r>
      <w:r w:rsidR="00401720">
        <w:t>such as</w:t>
      </w:r>
      <w:r w:rsidRPr="00F02042">
        <w:t xml:space="preserve"> cases </w:t>
      </w:r>
      <w:r w:rsidR="00401720">
        <w:t>where the</w:t>
      </w:r>
      <w:r w:rsidR="00401720" w:rsidRPr="00F02042">
        <w:t xml:space="preserve"> </w:t>
      </w:r>
      <w:r w:rsidR="00401720" w:rsidRPr="00401720">
        <w:t>pregnancy gravely e</w:t>
      </w:r>
      <w:r w:rsidR="00401720">
        <w:t xml:space="preserve">ndangers the women’s health, </w:t>
      </w:r>
      <w:r w:rsidRPr="00F02042">
        <w:t>rape or incest</w:t>
      </w:r>
      <w:r w:rsidR="00323DB6" w:rsidRPr="00F02042">
        <w:t>.</w:t>
      </w:r>
    </w:p>
    <w:p w14:paraId="203E4A4A" w14:textId="6F7DFE8F" w:rsidR="00EE6E3F" w:rsidRPr="00F02042" w:rsidRDefault="008B3602" w:rsidP="00F02042">
      <w:pPr>
        <w:pStyle w:val="SingleTxtG"/>
        <w:rPr>
          <w:b/>
        </w:rPr>
      </w:pPr>
      <w:r w:rsidRPr="00F02042">
        <w:t>33</w:t>
      </w:r>
      <w:r w:rsidR="00EE6E3F" w:rsidRPr="00F02042">
        <w:t>.</w:t>
      </w:r>
      <w:r w:rsidR="00EE6E3F" w:rsidRPr="00F02042">
        <w:tab/>
      </w:r>
      <w:r w:rsidR="00EE6E3F" w:rsidRPr="00F02042">
        <w:rPr>
          <w:b/>
        </w:rPr>
        <w:t xml:space="preserve">The Committee, recalling its general recommendation No. 24 (1999) on women and health, draws attention to Sustainable Development Goals 3.1 and 3.7, to reduce the global maternal mortality ratio and to ensure universal access to sexual and reproductive health-care services, recommends that the State party: </w:t>
      </w:r>
    </w:p>
    <w:p w14:paraId="10B4C730" w14:textId="077D942D" w:rsidR="00EE6E3F" w:rsidRPr="00F02042" w:rsidRDefault="00EE6E3F" w:rsidP="00F02042">
      <w:pPr>
        <w:pStyle w:val="SingleTxtG"/>
        <w:rPr>
          <w:b/>
        </w:rPr>
      </w:pPr>
      <w:r w:rsidRPr="00F02042">
        <w:rPr>
          <w:b/>
        </w:rPr>
        <w:tab/>
        <w:t>(a)</w:t>
      </w:r>
      <w:r w:rsidRPr="00F02042">
        <w:rPr>
          <w:b/>
        </w:rPr>
        <w:tab/>
        <w:t xml:space="preserve">Increase the budgetary allocation to </w:t>
      </w:r>
      <w:r w:rsidR="00CF03A9" w:rsidRPr="00F02042">
        <w:rPr>
          <w:b/>
        </w:rPr>
        <w:t xml:space="preserve">women’s </w:t>
      </w:r>
      <w:r w:rsidRPr="00F02042">
        <w:rPr>
          <w:b/>
        </w:rPr>
        <w:t>basic health care</w:t>
      </w:r>
      <w:r w:rsidR="000F79D5">
        <w:rPr>
          <w:b/>
        </w:rPr>
        <w:t>,</w:t>
      </w:r>
      <w:r w:rsidRPr="00F02042">
        <w:rPr>
          <w:b/>
        </w:rPr>
        <w:t xml:space="preserve"> </w:t>
      </w:r>
      <w:r w:rsidR="000F79D5" w:rsidRPr="000F79D5">
        <w:rPr>
          <w:b/>
        </w:rPr>
        <w:t xml:space="preserve">cancer prevention programmes </w:t>
      </w:r>
      <w:r w:rsidRPr="00F02042">
        <w:rPr>
          <w:b/>
        </w:rPr>
        <w:t xml:space="preserve">and sexual and reproductive health-care services, affordable modern </w:t>
      </w:r>
      <w:r w:rsidR="00092F51" w:rsidRPr="00F02042">
        <w:rPr>
          <w:b/>
        </w:rPr>
        <w:t xml:space="preserve">forms of </w:t>
      </w:r>
      <w:r w:rsidRPr="00F02042">
        <w:rPr>
          <w:b/>
        </w:rPr>
        <w:t>contracepti</w:t>
      </w:r>
      <w:r w:rsidR="00092F51" w:rsidRPr="00F02042">
        <w:rPr>
          <w:b/>
        </w:rPr>
        <w:t>on</w:t>
      </w:r>
      <w:r w:rsidRPr="00F02042">
        <w:rPr>
          <w:b/>
        </w:rPr>
        <w:t xml:space="preserve"> and family planning services, </w:t>
      </w:r>
      <w:r w:rsidR="00092F51" w:rsidRPr="00F02042">
        <w:rPr>
          <w:b/>
        </w:rPr>
        <w:t>in particular as regards</w:t>
      </w:r>
      <w:r w:rsidRPr="00F02042">
        <w:rPr>
          <w:b/>
        </w:rPr>
        <w:t xml:space="preserve"> poor, rural nomadic women, as well as to adolescent</w:t>
      </w:r>
      <w:r w:rsidR="00092F51" w:rsidRPr="00F02042">
        <w:rPr>
          <w:b/>
        </w:rPr>
        <w:t xml:space="preserve"> girl</w:t>
      </w:r>
      <w:r w:rsidRPr="00F02042">
        <w:rPr>
          <w:b/>
        </w:rPr>
        <w:t xml:space="preserve">s; </w:t>
      </w:r>
    </w:p>
    <w:p w14:paraId="024A28CD" w14:textId="2754E910" w:rsidR="00EE6E3F" w:rsidRPr="00F02042" w:rsidRDefault="00EE6E3F" w:rsidP="00F02042">
      <w:pPr>
        <w:pStyle w:val="SingleTxtG"/>
        <w:rPr>
          <w:b/>
        </w:rPr>
      </w:pPr>
      <w:r w:rsidRPr="00F02042">
        <w:rPr>
          <w:b/>
        </w:rPr>
        <w:tab/>
        <w:t>(b)</w:t>
      </w:r>
      <w:r w:rsidRPr="00F02042">
        <w:rPr>
          <w:b/>
        </w:rPr>
        <w:tab/>
      </w:r>
      <w:r w:rsidR="00092F51" w:rsidRPr="00F02042">
        <w:rPr>
          <w:b/>
        </w:rPr>
        <w:t>R</w:t>
      </w:r>
      <w:r w:rsidRPr="00F02042">
        <w:rPr>
          <w:b/>
        </w:rPr>
        <w:t xml:space="preserve">educe maternal mortality by improving access to basic prenatal and postnatal care and emergency obstetric services by skilled birth attendants, </w:t>
      </w:r>
      <w:r w:rsidR="00092F51" w:rsidRPr="00F02042">
        <w:rPr>
          <w:b/>
        </w:rPr>
        <w:t>as well as</w:t>
      </w:r>
      <w:r w:rsidRPr="00F02042">
        <w:rPr>
          <w:b/>
        </w:rPr>
        <w:t xml:space="preserve"> post-abortion care</w:t>
      </w:r>
      <w:r w:rsidR="00DF199E">
        <w:rPr>
          <w:b/>
        </w:rPr>
        <w:t xml:space="preserve"> and obstetric fistula services</w:t>
      </w:r>
      <w:r w:rsidRPr="00F02042">
        <w:rPr>
          <w:b/>
        </w:rPr>
        <w:t xml:space="preserve">, throughout the territory of the State party, taking into consideration the technical guidance of the Office of the United Nations High Commissioner for Human Rights on the application of a human rights-based approach to the implementation of policies and programmes to reduce preventable maternal morbidity and mortality (A/HRC/21/22 and Corr.1 and 2); </w:t>
      </w:r>
    </w:p>
    <w:p w14:paraId="7F48F9FB" w14:textId="3D15DE16" w:rsidR="001B6FC4" w:rsidRPr="00F02042" w:rsidRDefault="00EE6E3F" w:rsidP="00F02042">
      <w:pPr>
        <w:pStyle w:val="SingleTxtG"/>
        <w:rPr>
          <w:b/>
        </w:rPr>
      </w:pPr>
      <w:r w:rsidRPr="00F02042">
        <w:rPr>
          <w:b/>
        </w:rPr>
        <w:tab/>
        <w:t>(c)</w:t>
      </w:r>
      <w:r w:rsidRPr="00F02042">
        <w:rPr>
          <w:b/>
        </w:rPr>
        <w:tab/>
      </w:r>
      <w:r w:rsidR="007718AD">
        <w:rPr>
          <w:b/>
        </w:rPr>
        <w:t>L</w:t>
      </w:r>
      <w:r w:rsidR="007718AD" w:rsidRPr="001B6FC4">
        <w:rPr>
          <w:b/>
        </w:rPr>
        <w:t>egalize abortion and ensure its legal and practical availability in cases in which the life and/or health of the pregnant woman or girl is at risk and in cases of rape, incest and serious i</w:t>
      </w:r>
      <w:r w:rsidR="007718AD">
        <w:rPr>
          <w:b/>
        </w:rPr>
        <w:t>mpairment of the fetus, and d</w:t>
      </w:r>
      <w:r w:rsidRPr="00F02042">
        <w:rPr>
          <w:b/>
        </w:rPr>
        <w:t xml:space="preserve">ecriminalize abortion by repealing articles 295-297 of the Penal Code, and ensure unhindered access to safe abortion </w:t>
      </w:r>
      <w:r w:rsidR="00CF03A9" w:rsidRPr="00F02042">
        <w:rPr>
          <w:b/>
        </w:rPr>
        <w:t>and</w:t>
      </w:r>
      <w:r w:rsidR="007718AD">
        <w:rPr>
          <w:b/>
        </w:rPr>
        <w:t xml:space="preserve"> </w:t>
      </w:r>
      <w:r w:rsidR="001B6FC4" w:rsidRPr="001B6FC4">
        <w:rPr>
          <w:b/>
        </w:rPr>
        <w:t>to post-abortion care services;</w:t>
      </w:r>
    </w:p>
    <w:p w14:paraId="2A588E12" w14:textId="12013CAD" w:rsidR="00D56383" w:rsidRDefault="00EE15E3" w:rsidP="00F02042">
      <w:pPr>
        <w:pStyle w:val="SingleTxtG"/>
        <w:rPr>
          <w:b/>
        </w:rPr>
      </w:pPr>
      <w:r w:rsidRPr="00F02042">
        <w:rPr>
          <w:b/>
        </w:rPr>
        <w:tab/>
        <w:t>(d</w:t>
      </w:r>
      <w:r w:rsidR="00EE6E3F" w:rsidRPr="00F02042">
        <w:rPr>
          <w:b/>
        </w:rPr>
        <w:t>)</w:t>
      </w:r>
      <w:r w:rsidR="00EE6E3F" w:rsidRPr="00F02042">
        <w:rPr>
          <w:b/>
        </w:rPr>
        <w:tab/>
        <w:t>Carry out targeted awareness-raising to combat the negative influence of customary, traditional or religious considerations that may be invoked to limit the autonomy of women and hamper the exercise of their sexual and reproductive health rights</w:t>
      </w:r>
      <w:r w:rsidR="00D56383">
        <w:rPr>
          <w:b/>
        </w:rPr>
        <w:t>; and,</w:t>
      </w:r>
    </w:p>
    <w:p w14:paraId="4CE8A1FD" w14:textId="7F4783A7" w:rsidR="00EE6E3F" w:rsidRPr="00F02042" w:rsidRDefault="00D56383" w:rsidP="00C46C06">
      <w:pPr>
        <w:pStyle w:val="SingleTxtG"/>
        <w:ind w:firstLine="567"/>
        <w:rPr>
          <w:b/>
        </w:rPr>
      </w:pPr>
      <w:r>
        <w:rPr>
          <w:b/>
        </w:rPr>
        <w:t>(e)</w:t>
      </w:r>
      <w:r>
        <w:rPr>
          <w:b/>
        </w:rPr>
        <w:tab/>
        <w:t>C</w:t>
      </w:r>
      <w:r w:rsidRPr="00D56383">
        <w:rPr>
          <w:b/>
        </w:rPr>
        <w:t>ollect data assessing the financial burden o</w:t>
      </w:r>
      <w:r>
        <w:rPr>
          <w:b/>
        </w:rPr>
        <w:t xml:space="preserve">n the health care </w:t>
      </w:r>
      <w:r w:rsidRPr="00D56383">
        <w:rPr>
          <w:b/>
        </w:rPr>
        <w:t xml:space="preserve">system </w:t>
      </w:r>
      <w:r>
        <w:rPr>
          <w:b/>
        </w:rPr>
        <w:t>of treating victims of harmful practices, including female genital mutilation</w:t>
      </w:r>
      <w:r w:rsidR="00CF03A9" w:rsidRPr="00F02042">
        <w:rPr>
          <w:b/>
        </w:rPr>
        <w:t>.</w:t>
      </w:r>
    </w:p>
    <w:p w14:paraId="139B4EFD" w14:textId="77777777" w:rsidR="00EE6E3F" w:rsidRPr="00BD7D2D" w:rsidRDefault="00EE6E3F" w:rsidP="00EE6E3F">
      <w:pPr>
        <w:pStyle w:val="H23G"/>
        <w:ind w:firstLine="0"/>
        <w:jc w:val="both"/>
        <w:rPr>
          <w:lang w:val="en-US"/>
        </w:rPr>
      </w:pPr>
      <w:r w:rsidRPr="00BD7D2D">
        <w:rPr>
          <w:lang w:val="en-US"/>
        </w:rPr>
        <w:t>Economic and social benefits</w:t>
      </w:r>
    </w:p>
    <w:p w14:paraId="4831FEDA" w14:textId="7F7DCB06" w:rsidR="00D602E1" w:rsidRPr="00D602E1" w:rsidRDefault="008B3602" w:rsidP="00F02042">
      <w:pPr>
        <w:pStyle w:val="SingleTxtG"/>
        <w:rPr>
          <w:lang w:val="en-US"/>
        </w:rPr>
      </w:pPr>
      <w:r>
        <w:rPr>
          <w:lang w:val="en-US"/>
        </w:rPr>
        <w:t>34</w:t>
      </w:r>
      <w:r w:rsidR="00EE6E3F" w:rsidRPr="00EC3A6E">
        <w:rPr>
          <w:lang w:val="en-US"/>
        </w:rPr>
        <w:t>.</w:t>
      </w:r>
      <w:r w:rsidR="00EE6E3F" w:rsidRPr="00EC3A6E">
        <w:rPr>
          <w:lang w:val="en-US"/>
        </w:rPr>
        <w:tab/>
        <w:t>The Committee</w:t>
      </w:r>
      <w:r w:rsidR="00EE6E3F" w:rsidRPr="00EC3A6E">
        <w:t xml:space="preserve"> </w:t>
      </w:r>
      <w:r w:rsidR="00092F51">
        <w:t>notes</w:t>
      </w:r>
      <w:r w:rsidR="00FF542F">
        <w:t xml:space="preserve"> the link between the dispr</w:t>
      </w:r>
      <w:r w:rsidR="00FF542F" w:rsidRPr="003C72FE">
        <w:t>oportionate</w:t>
      </w:r>
      <w:r w:rsidR="00092F51">
        <w:t>ly high</w:t>
      </w:r>
      <w:r w:rsidR="00FF542F" w:rsidRPr="003C72FE">
        <w:t xml:space="preserve"> number</w:t>
      </w:r>
      <w:r w:rsidR="00EE6E3F" w:rsidRPr="003C72FE">
        <w:t xml:space="preserve"> </w:t>
      </w:r>
      <w:r w:rsidR="00FF542F" w:rsidRPr="003C72FE">
        <w:t xml:space="preserve">of </w:t>
      </w:r>
      <w:r w:rsidR="00EE6E3F" w:rsidRPr="003C72FE">
        <w:rPr>
          <w:lang w:val="en-US"/>
        </w:rPr>
        <w:t>women in the State party living in poverty</w:t>
      </w:r>
      <w:r w:rsidR="00FF542F" w:rsidRPr="003C72FE">
        <w:rPr>
          <w:lang w:val="en-US"/>
        </w:rPr>
        <w:t xml:space="preserve"> and their restrict</w:t>
      </w:r>
      <w:r w:rsidR="00B202E5">
        <w:rPr>
          <w:lang w:val="en-US"/>
        </w:rPr>
        <w:t>ed</w:t>
      </w:r>
      <w:r w:rsidR="00FF542F" w:rsidRPr="003C72FE">
        <w:rPr>
          <w:lang w:val="en-US"/>
        </w:rPr>
        <w:t xml:space="preserve"> access </w:t>
      </w:r>
      <w:r w:rsidR="00092F51">
        <w:rPr>
          <w:lang w:val="en-US"/>
        </w:rPr>
        <w:t xml:space="preserve">to </w:t>
      </w:r>
      <w:r w:rsidR="00FF542F" w:rsidRPr="003C72FE">
        <w:rPr>
          <w:lang w:val="en-US"/>
        </w:rPr>
        <w:t xml:space="preserve">economic </w:t>
      </w:r>
      <w:r w:rsidR="00092F51">
        <w:rPr>
          <w:lang w:val="en-US"/>
        </w:rPr>
        <w:t xml:space="preserve">assets </w:t>
      </w:r>
      <w:r w:rsidR="00FF542F" w:rsidRPr="003C72FE">
        <w:rPr>
          <w:lang w:val="en-US"/>
        </w:rPr>
        <w:t xml:space="preserve">and social benefits </w:t>
      </w:r>
      <w:r w:rsidR="00DF199E">
        <w:rPr>
          <w:lang w:val="en-US"/>
        </w:rPr>
        <w:t xml:space="preserve">mainly </w:t>
      </w:r>
      <w:r w:rsidR="00B202E5">
        <w:rPr>
          <w:lang w:val="en-US"/>
        </w:rPr>
        <w:t>due to</w:t>
      </w:r>
      <w:r w:rsidR="005A3291">
        <w:rPr>
          <w:lang w:val="en-US"/>
        </w:rPr>
        <w:t xml:space="preserve"> </w:t>
      </w:r>
      <w:r w:rsidR="003C72FE" w:rsidRPr="003C72FE">
        <w:rPr>
          <w:lang w:val="en-US"/>
        </w:rPr>
        <w:t>t</w:t>
      </w:r>
      <w:r w:rsidR="0038206B" w:rsidRPr="003C72FE">
        <w:rPr>
          <w:lang w:val="en-US"/>
        </w:rPr>
        <w:t xml:space="preserve">he application of customary law </w:t>
      </w:r>
      <w:r w:rsidR="003C72FE" w:rsidRPr="003C72FE">
        <w:rPr>
          <w:lang w:val="en-US"/>
        </w:rPr>
        <w:t>in matters of succession resulting</w:t>
      </w:r>
      <w:r w:rsidR="0038206B" w:rsidRPr="003C72FE">
        <w:rPr>
          <w:lang w:val="en-US"/>
        </w:rPr>
        <w:t xml:space="preserve"> in unequal land </w:t>
      </w:r>
      <w:r w:rsidR="00092F51">
        <w:rPr>
          <w:lang w:val="en-US"/>
        </w:rPr>
        <w:t>inheritance</w:t>
      </w:r>
      <w:r w:rsidR="00D602E1">
        <w:rPr>
          <w:lang w:val="en-US"/>
        </w:rPr>
        <w:t xml:space="preserve"> </w:t>
      </w:r>
      <w:r w:rsidR="00055E03">
        <w:rPr>
          <w:lang w:val="en-US"/>
        </w:rPr>
        <w:t>and</w:t>
      </w:r>
      <w:r w:rsidR="00D602E1">
        <w:rPr>
          <w:lang w:val="en-US"/>
        </w:rPr>
        <w:t xml:space="preserve"> land grabbing from widows,</w:t>
      </w:r>
      <w:r w:rsidR="003A3BA6">
        <w:rPr>
          <w:lang w:val="en-US"/>
        </w:rPr>
        <w:t xml:space="preserve"> </w:t>
      </w:r>
      <w:r w:rsidR="003C72FE" w:rsidRPr="003C72FE">
        <w:rPr>
          <w:lang w:val="en-US"/>
        </w:rPr>
        <w:t xml:space="preserve">discriminatory </w:t>
      </w:r>
      <w:r w:rsidR="00092F51">
        <w:rPr>
          <w:lang w:val="en-US"/>
        </w:rPr>
        <w:t xml:space="preserve">criteria for </w:t>
      </w:r>
      <w:r w:rsidR="0038206B" w:rsidRPr="003C72FE">
        <w:rPr>
          <w:lang w:val="en-US"/>
        </w:rPr>
        <w:t>allocati</w:t>
      </w:r>
      <w:r w:rsidR="00092F51">
        <w:rPr>
          <w:lang w:val="en-US"/>
        </w:rPr>
        <w:t>ng</w:t>
      </w:r>
      <w:r w:rsidR="0038206B" w:rsidRPr="003C72FE">
        <w:rPr>
          <w:lang w:val="en-US"/>
        </w:rPr>
        <w:t xml:space="preserve"> social benefits</w:t>
      </w:r>
      <w:r w:rsidR="003C72FE" w:rsidRPr="003C72FE">
        <w:rPr>
          <w:lang w:val="en-US"/>
        </w:rPr>
        <w:t xml:space="preserve"> and </w:t>
      </w:r>
      <w:r w:rsidR="00092F51">
        <w:rPr>
          <w:lang w:val="en-US"/>
        </w:rPr>
        <w:t>laws</w:t>
      </w:r>
      <w:r w:rsidR="003C72FE" w:rsidRPr="003C72FE">
        <w:rPr>
          <w:lang w:val="en-US"/>
        </w:rPr>
        <w:t xml:space="preserve"> restrict</w:t>
      </w:r>
      <w:r w:rsidR="00092F51">
        <w:rPr>
          <w:lang w:val="en-US"/>
        </w:rPr>
        <w:t>ing</w:t>
      </w:r>
      <w:r w:rsidR="003C72FE" w:rsidRPr="003C72FE">
        <w:rPr>
          <w:lang w:val="en-US"/>
        </w:rPr>
        <w:t xml:space="preserve"> </w:t>
      </w:r>
      <w:r w:rsidR="00092F51">
        <w:rPr>
          <w:lang w:val="en-US"/>
        </w:rPr>
        <w:t xml:space="preserve">the </w:t>
      </w:r>
      <w:r w:rsidR="005A3291">
        <w:rPr>
          <w:lang w:val="en-US"/>
        </w:rPr>
        <w:t>legal capacity</w:t>
      </w:r>
      <w:r w:rsidR="003C72FE" w:rsidRPr="003C72FE">
        <w:rPr>
          <w:lang w:val="en-US"/>
        </w:rPr>
        <w:t xml:space="preserve"> of married women</w:t>
      </w:r>
      <w:r w:rsidR="005A3291">
        <w:rPr>
          <w:lang w:val="en-US"/>
        </w:rPr>
        <w:t xml:space="preserve">, </w:t>
      </w:r>
      <w:r w:rsidR="005A3291" w:rsidRPr="005A3291">
        <w:rPr>
          <w:i/>
          <w:lang w:val="en-US"/>
        </w:rPr>
        <w:t>inter alia</w:t>
      </w:r>
      <w:r w:rsidR="005A3291">
        <w:rPr>
          <w:lang w:val="en-US"/>
        </w:rPr>
        <w:t>,</w:t>
      </w:r>
      <w:r w:rsidR="003C72FE" w:rsidRPr="003C72FE">
        <w:rPr>
          <w:lang w:val="en-US"/>
        </w:rPr>
        <w:t xml:space="preserve"> </w:t>
      </w:r>
      <w:r w:rsidR="00092F51">
        <w:rPr>
          <w:lang w:val="en-US"/>
        </w:rPr>
        <w:t xml:space="preserve">to </w:t>
      </w:r>
      <w:r w:rsidR="003C72FE" w:rsidRPr="003C72FE">
        <w:rPr>
          <w:lang w:val="en-US"/>
        </w:rPr>
        <w:t>access credit and exercise a profession</w:t>
      </w:r>
      <w:r w:rsidR="005A3291">
        <w:rPr>
          <w:lang w:val="en-US"/>
        </w:rPr>
        <w:t>, in contravention of article 8 of the Constitution</w:t>
      </w:r>
      <w:r w:rsidR="003C72FE" w:rsidRPr="003C72FE">
        <w:rPr>
          <w:lang w:val="en-US"/>
        </w:rPr>
        <w:t>.</w:t>
      </w:r>
    </w:p>
    <w:p w14:paraId="410ABADA" w14:textId="03F75734" w:rsidR="00EE6E3F" w:rsidRPr="00F02042" w:rsidRDefault="008B3602" w:rsidP="00F02042">
      <w:pPr>
        <w:pStyle w:val="SingleTxtG"/>
        <w:rPr>
          <w:b/>
        </w:rPr>
      </w:pPr>
      <w:r w:rsidRPr="00F02042">
        <w:t>35</w:t>
      </w:r>
      <w:r w:rsidR="00EE6E3F" w:rsidRPr="00F02042">
        <w:t>.</w:t>
      </w:r>
      <w:r w:rsidR="00EE6E3F" w:rsidRPr="00F02042">
        <w:tab/>
      </w:r>
      <w:r w:rsidR="00EE6E3F" w:rsidRPr="00F02042">
        <w:rPr>
          <w:b/>
        </w:rPr>
        <w:t>The Committee recommends that the State party</w:t>
      </w:r>
      <w:r w:rsidR="006B4866" w:rsidRPr="00F02042">
        <w:rPr>
          <w:b/>
        </w:rPr>
        <w:t xml:space="preserve"> prioritize the participation of women in its efforts to meet the targets of the 2030 Agenda for Sustainable Development, and that </w:t>
      </w:r>
      <w:r w:rsidR="00092F51" w:rsidRPr="00F02042">
        <w:rPr>
          <w:b/>
        </w:rPr>
        <w:t>it</w:t>
      </w:r>
      <w:r w:rsidR="00EE6E3F" w:rsidRPr="00F02042">
        <w:rPr>
          <w:b/>
        </w:rPr>
        <w:t>:</w:t>
      </w:r>
    </w:p>
    <w:p w14:paraId="53AF05E0" w14:textId="4B5A086D" w:rsidR="0099480D" w:rsidRPr="00F02042" w:rsidRDefault="00F02042" w:rsidP="00F02042">
      <w:pPr>
        <w:pStyle w:val="SingleTxtG"/>
        <w:ind w:firstLine="567"/>
        <w:rPr>
          <w:b/>
        </w:rPr>
      </w:pPr>
      <w:r w:rsidRPr="00F02042">
        <w:rPr>
          <w:b/>
        </w:rPr>
        <w:t>(a)</w:t>
      </w:r>
      <w:r w:rsidRPr="00F02042">
        <w:rPr>
          <w:b/>
        </w:rPr>
        <w:tab/>
      </w:r>
      <w:r w:rsidR="00EE6E3F" w:rsidRPr="00F02042">
        <w:rPr>
          <w:b/>
        </w:rPr>
        <w:t>Re</w:t>
      </w:r>
      <w:r w:rsidR="00092F51" w:rsidRPr="00F02042">
        <w:rPr>
          <w:b/>
        </w:rPr>
        <w:t>gulate</w:t>
      </w:r>
      <w:r w:rsidR="00EE6E3F" w:rsidRPr="00F02042">
        <w:rPr>
          <w:b/>
        </w:rPr>
        <w:t xml:space="preserve"> succession </w:t>
      </w:r>
      <w:r w:rsidR="00092F51" w:rsidRPr="00F02042">
        <w:rPr>
          <w:b/>
        </w:rPr>
        <w:t>under</w:t>
      </w:r>
      <w:r w:rsidR="0099480D" w:rsidRPr="00F02042">
        <w:rPr>
          <w:b/>
        </w:rPr>
        <w:t xml:space="preserve"> both</w:t>
      </w:r>
      <w:r w:rsidR="00EE6E3F" w:rsidRPr="00F02042">
        <w:rPr>
          <w:b/>
        </w:rPr>
        <w:t xml:space="preserve"> the civil </w:t>
      </w:r>
      <w:r w:rsidR="0099480D" w:rsidRPr="00F02042">
        <w:rPr>
          <w:b/>
        </w:rPr>
        <w:t xml:space="preserve">and customary </w:t>
      </w:r>
      <w:r w:rsidR="00EE6E3F" w:rsidRPr="00F02042">
        <w:rPr>
          <w:b/>
        </w:rPr>
        <w:t>law regime</w:t>
      </w:r>
      <w:r w:rsidR="0099480D" w:rsidRPr="00F02042">
        <w:rPr>
          <w:b/>
        </w:rPr>
        <w:t>s</w:t>
      </w:r>
      <w:r w:rsidR="00EE6E3F" w:rsidRPr="00F02042">
        <w:rPr>
          <w:b/>
        </w:rPr>
        <w:t xml:space="preserve"> to ensure equality in land acquisition</w:t>
      </w:r>
      <w:r w:rsidR="00055E03" w:rsidRPr="00F02042">
        <w:rPr>
          <w:b/>
        </w:rPr>
        <w:t xml:space="preserve"> and retention</w:t>
      </w:r>
      <w:r w:rsidR="00EE6E3F" w:rsidRPr="00F02042">
        <w:rPr>
          <w:b/>
        </w:rPr>
        <w:t xml:space="preserve">, </w:t>
      </w:r>
      <w:r w:rsidR="0099480D" w:rsidRPr="00F02042">
        <w:rPr>
          <w:b/>
        </w:rPr>
        <w:t xml:space="preserve">including through succession, </w:t>
      </w:r>
      <w:r w:rsidR="00EE6E3F" w:rsidRPr="00F02042">
        <w:rPr>
          <w:b/>
        </w:rPr>
        <w:t>and facilitate women’s access to justice to contest cases of unequal distribution of land;</w:t>
      </w:r>
    </w:p>
    <w:p w14:paraId="7C81438E" w14:textId="5DD4E4CA" w:rsidR="009D6E49" w:rsidRPr="00F02042" w:rsidRDefault="00F02042" w:rsidP="00F02042">
      <w:pPr>
        <w:pStyle w:val="SingleTxtG"/>
        <w:ind w:firstLine="567"/>
        <w:rPr>
          <w:b/>
        </w:rPr>
      </w:pPr>
      <w:r w:rsidRPr="00F02042">
        <w:rPr>
          <w:b/>
        </w:rPr>
        <w:t>(b)</w:t>
      </w:r>
      <w:r w:rsidRPr="00F02042">
        <w:rPr>
          <w:b/>
        </w:rPr>
        <w:tab/>
      </w:r>
      <w:r w:rsidR="009D6E49" w:rsidRPr="00F02042">
        <w:rPr>
          <w:b/>
        </w:rPr>
        <w:t xml:space="preserve">Eliminate discrimination </w:t>
      </w:r>
      <w:r w:rsidR="00092F51" w:rsidRPr="00F02042">
        <w:rPr>
          <w:b/>
        </w:rPr>
        <w:t>with regard to women’s</w:t>
      </w:r>
      <w:r w:rsidR="009D6E49" w:rsidRPr="00F02042">
        <w:rPr>
          <w:b/>
        </w:rPr>
        <w:t xml:space="preserve"> access to social benefits and pension</w:t>
      </w:r>
      <w:r w:rsidR="0099480D" w:rsidRPr="00F02042">
        <w:rPr>
          <w:b/>
        </w:rPr>
        <w:t xml:space="preserve">s, including </w:t>
      </w:r>
      <w:r w:rsidR="00092F51" w:rsidRPr="00F02042">
        <w:rPr>
          <w:b/>
        </w:rPr>
        <w:t>by</w:t>
      </w:r>
      <w:r w:rsidR="0099480D" w:rsidRPr="00F02042">
        <w:rPr>
          <w:b/>
        </w:rPr>
        <w:t xml:space="preserve"> amend</w:t>
      </w:r>
      <w:r w:rsidR="00092F51" w:rsidRPr="00F02042">
        <w:rPr>
          <w:b/>
        </w:rPr>
        <w:t>ing</w:t>
      </w:r>
      <w:r w:rsidR="0099480D" w:rsidRPr="00F02042">
        <w:rPr>
          <w:b/>
        </w:rPr>
        <w:t xml:space="preserve"> Act No. 2007-26 </w:t>
      </w:r>
      <w:r w:rsidR="004856EA" w:rsidRPr="00F02042">
        <w:rPr>
          <w:b/>
        </w:rPr>
        <w:t>on</w:t>
      </w:r>
      <w:r w:rsidR="0099480D" w:rsidRPr="00F02042">
        <w:rPr>
          <w:b/>
        </w:rPr>
        <w:t xml:space="preserve"> the general conditions of the State public service and determining the </w:t>
      </w:r>
      <w:r w:rsidR="004856EA" w:rsidRPr="00F02042">
        <w:rPr>
          <w:b/>
        </w:rPr>
        <w:t>criteria</w:t>
      </w:r>
      <w:r w:rsidR="0099480D" w:rsidRPr="00F02042">
        <w:rPr>
          <w:b/>
        </w:rPr>
        <w:t xml:space="preserve"> for entitlement to </w:t>
      </w:r>
      <w:r w:rsidR="004856EA" w:rsidRPr="00F02042">
        <w:rPr>
          <w:b/>
        </w:rPr>
        <w:t xml:space="preserve">and levels of </w:t>
      </w:r>
      <w:r w:rsidR="0099480D" w:rsidRPr="00F02042">
        <w:rPr>
          <w:b/>
        </w:rPr>
        <w:t>family allowances, benefits and bonuses</w:t>
      </w:r>
      <w:r w:rsidR="00B202E5" w:rsidRPr="00F02042">
        <w:rPr>
          <w:b/>
        </w:rPr>
        <w:t xml:space="preserve">, as well as </w:t>
      </w:r>
      <w:r w:rsidR="0099480D" w:rsidRPr="00F02042">
        <w:rPr>
          <w:b/>
        </w:rPr>
        <w:t xml:space="preserve">Decree No. 60-55/MFP/T, </w:t>
      </w:r>
      <w:r w:rsidR="004856EA" w:rsidRPr="00F02042">
        <w:rPr>
          <w:b/>
        </w:rPr>
        <w:t>on</w:t>
      </w:r>
      <w:r w:rsidR="0099480D" w:rsidRPr="00F02042">
        <w:rPr>
          <w:b/>
        </w:rPr>
        <w:t xml:space="preserve"> the remuneration and material benefits allocated to officials in state public administrations and establishments</w:t>
      </w:r>
      <w:r w:rsidR="00B202E5" w:rsidRPr="00F02042">
        <w:rPr>
          <w:b/>
        </w:rPr>
        <w:t>;</w:t>
      </w:r>
      <w:r w:rsidR="006B4866" w:rsidRPr="00F02042">
        <w:rPr>
          <w:b/>
        </w:rPr>
        <w:t xml:space="preserve"> </w:t>
      </w:r>
    </w:p>
    <w:p w14:paraId="06098EFB" w14:textId="5BB22F7E" w:rsidR="006B4866" w:rsidRPr="00F02042" w:rsidRDefault="00F02042" w:rsidP="00F02042">
      <w:pPr>
        <w:pStyle w:val="SingleTxtG"/>
        <w:ind w:firstLine="567"/>
        <w:rPr>
          <w:b/>
        </w:rPr>
      </w:pPr>
      <w:r w:rsidRPr="00F02042">
        <w:rPr>
          <w:b/>
        </w:rPr>
        <w:t>(c)</w:t>
      </w:r>
      <w:r w:rsidRPr="00F02042">
        <w:rPr>
          <w:b/>
        </w:rPr>
        <w:tab/>
      </w:r>
      <w:r w:rsidR="004856EA" w:rsidRPr="00F02042">
        <w:rPr>
          <w:b/>
        </w:rPr>
        <w:t>R</w:t>
      </w:r>
      <w:r w:rsidR="0099480D" w:rsidRPr="00F02042">
        <w:rPr>
          <w:b/>
        </w:rPr>
        <w:t>epeal the legal provisions restricting married women’s</w:t>
      </w:r>
      <w:r w:rsidR="00B202E5" w:rsidRPr="00F02042">
        <w:rPr>
          <w:b/>
        </w:rPr>
        <w:t xml:space="preserve"> </w:t>
      </w:r>
      <w:r w:rsidR="005A3291" w:rsidRPr="00F02042">
        <w:rPr>
          <w:b/>
        </w:rPr>
        <w:t>legal capacity</w:t>
      </w:r>
      <w:r w:rsidR="0099480D" w:rsidRPr="00F02042">
        <w:rPr>
          <w:b/>
        </w:rPr>
        <w:t>, including the requirement to attain the hu</w:t>
      </w:r>
      <w:r w:rsidR="00B202E5" w:rsidRPr="00F02042">
        <w:rPr>
          <w:b/>
        </w:rPr>
        <w:t>s</w:t>
      </w:r>
      <w:r w:rsidR="0099480D" w:rsidRPr="00F02042">
        <w:rPr>
          <w:b/>
        </w:rPr>
        <w:t>band’s permission in order to open a bank account</w:t>
      </w:r>
      <w:r w:rsidR="00B202E5" w:rsidRPr="00F02042">
        <w:rPr>
          <w:b/>
        </w:rPr>
        <w:t xml:space="preserve"> or</w:t>
      </w:r>
      <w:r w:rsidR="0099480D" w:rsidRPr="00F02042">
        <w:rPr>
          <w:b/>
        </w:rPr>
        <w:t xml:space="preserve"> to exercise a profession</w:t>
      </w:r>
      <w:r w:rsidR="00055E03" w:rsidRPr="00F02042">
        <w:rPr>
          <w:b/>
        </w:rPr>
        <w:t xml:space="preserve">; </w:t>
      </w:r>
      <w:r w:rsidR="006B4866" w:rsidRPr="00F02042">
        <w:rPr>
          <w:b/>
        </w:rPr>
        <w:t xml:space="preserve">and, </w:t>
      </w:r>
    </w:p>
    <w:p w14:paraId="37BEF858" w14:textId="1D956859" w:rsidR="0099480D" w:rsidRPr="00F02042" w:rsidRDefault="00F02042" w:rsidP="00F02042">
      <w:pPr>
        <w:pStyle w:val="SingleTxtG"/>
        <w:ind w:firstLine="567"/>
        <w:rPr>
          <w:b/>
        </w:rPr>
      </w:pPr>
      <w:r w:rsidRPr="00F02042">
        <w:rPr>
          <w:b/>
        </w:rPr>
        <w:t>(d)</w:t>
      </w:r>
      <w:r w:rsidRPr="00F02042">
        <w:rPr>
          <w:b/>
        </w:rPr>
        <w:tab/>
      </w:r>
      <w:r w:rsidR="006B4866" w:rsidRPr="00F02042">
        <w:rPr>
          <w:b/>
        </w:rPr>
        <w:t xml:space="preserve">Raise awareness </w:t>
      </w:r>
      <w:r w:rsidR="004856EA" w:rsidRPr="00F02042">
        <w:rPr>
          <w:b/>
        </w:rPr>
        <w:t>among</w:t>
      </w:r>
      <w:r w:rsidR="006B4866" w:rsidRPr="00F02042">
        <w:rPr>
          <w:b/>
        </w:rPr>
        <w:t xml:space="preserve"> parliamentarians, traditional </w:t>
      </w:r>
      <w:r w:rsidR="008476A0">
        <w:rPr>
          <w:b/>
        </w:rPr>
        <w:t xml:space="preserve">and religious </w:t>
      </w:r>
      <w:r w:rsidR="006B4866" w:rsidRPr="00F02042">
        <w:rPr>
          <w:b/>
        </w:rPr>
        <w:t xml:space="preserve">leaders and the general public </w:t>
      </w:r>
      <w:r w:rsidR="004856EA" w:rsidRPr="00F02042">
        <w:rPr>
          <w:b/>
        </w:rPr>
        <w:t>about</w:t>
      </w:r>
      <w:r w:rsidR="006B4866" w:rsidRPr="00F02042">
        <w:rPr>
          <w:b/>
        </w:rPr>
        <w:t xml:space="preserve"> the need to </w:t>
      </w:r>
      <w:r w:rsidR="004856EA" w:rsidRPr="00F02042">
        <w:rPr>
          <w:b/>
        </w:rPr>
        <w:t>promote</w:t>
      </w:r>
      <w:r w:rsidR="006B4866" w:rsidRPr="00F02042">
        <w:rPr>
          <w:b/>
        </w:rPr>
        <w:t xml:space="preserve"> </w:t>
      </w:r>
      <w:r w:rsidR="004856EA" w:rsidRPr="00F02042">
        <w:rPr>
          <w:b/>
        </w:rPr>
        <w:t>women’s</w:t>
      </w:r>
      <w:r w:rsidR="006B4866" w:rsidRPr="00F02042">
        <w:rPr>
          <w:b/>
        </w:rPr>
        <w:t xml:space="preserve"> economic empowerment as a poverty alleviation strategy.</w:t>
      </w:r>
    </w:p>
    <w:p w14:paraId="344A148C" w14:textId="77777777" w:rsidR="00EE6E3F" w:rsidRPr="007E546B" w:rsidRDefault="00EE6E3F" w:rsidP="00EE6E3F">
      <w:pPr>
        <w:pStyle w:val="H23G"/>
        <w:ind w:firstLine="0"/>
        <w:jc w:val="both"/>
        <w:rPr>
          <w:lang w:val="en-US"/>
        </w:rPr>
      </w:pPr>
      <w:r w:rsidRPr="007E546B">
        <w:rPr>
          <w:lang w:val="en-US"/>
        </w:rPr>
        <w:t>Rural women</w:t>
      </w:r>
      <w:r w:rsidR="00BA0BFF">
        <w:rPr>
          <w:lang w:val="en-US"/>
        </w:rPr>
        <w:t xml:space="preserve"> </w:t>
      </w:r>
    </w:p>
    <w:p w14:paraId="19030AC4" w14:textId="103257BB" w:rsidR="00AC7D97" w:rsidRPr="00AC7D97" w:rsidRDefault="008B3602" w:rsidP="00F02042">
      <w:pPr>
        <w:pStyle w:val="SingleTxtG"/>
        <w:rPr>
          <w:b/>
          <w:lang w:val="en-US"/>
        </w:rPr>
      </w:pPr>
      <w:r>
        <w:rPr>
          <w:lang w:val="en-US"/>
        </w:rPr>
        <w:t>36</w:t>
      </w:r>
      <w:r w:rsidR="00EE6E3F" w:rsidRPr="007E546B">
        <w:rPr>
          <w:lang w:val="en-US"/>
        </w:rPr>
        <w:t>.</w:t>
      </w:r>
      <w:r w:rsidR="00EE6E3F" w:rsidRPr="007E546B">
        <w:rPr>
          <w:lang w:val="en-US"/>
        </w:rPr>
        <w:tab/>
        <w:t xml:space="preserve">The Committee </w:t>
      </w:r>
      <w:r w:rsidR="004856EA">
        <w:rPr>
          <w:lang w:val="en-US"/>
        </w:rPr>
        <w:t>welcomes</w:t>
      </w:r>
      <w:r w:rsidR="00BA0BFF">
        <w:rPr>
          <w:lang w:val="en-US"/>
        </w:rPr>
        <w:t xml:space="preserve"> </w:t>
      </w:r>
      <w:r w:rsidR="00EE6E3F">
        <w:rPr>
          <w:lang w:val="en-US"/>
        </w:rPr>
        <w:t>the initiative “Nigeriens feeding Nigeriens” to support rural women</w:t>
      </w:r>
      <w:r w:rsidR="00BE2EBC">
        <w:rPr>
          <w:lang w:val="en-US"/>
        </w:rPr>
        <w:t xml:space="preserve">. </w:t>
      </w:r>
      <w:r w:rsidR="004856EA">
        <w:rPr>
          <w:lang w:val="en-US"/>
        </w:rPr>
        <w:t>However, i</w:t>
      </w:r>
      <w:r w:rsidR="00AC7D97">
        <w:rPr>
          <w:lang w:val="en-US"/>
        </w:rPr>
        <w:t>t notes with concern the extremely high rates of poverty (</w:t>
      </w:r>
      <w:r w:rsidR="00AC7D97" w:rsidRPr="00A16F8B">
        <w:rPr>
          <w:lang w:val="en-US"/>
        </w:rPr>
        <w:t xml:space="preserve">82 </w:t>
      </w:r>
      <w:r w:rsidR="00AC7D97">
        <w:rPr>
          <w:lang w:val="en-US"/>
        </w:rPr>
        <w:t xml:space="preserve">percent) and food insecurity </w:t>
      </w:r>
      <w:r w:rsidR="004856EA">
        <w:rPr>
          <w:lang w:val="en-US"/>
        </w:rPr>
        <w:t xml:space="preserve">affecting women </w:t>
      </w:r>
      <w:r w:rsidR="00AC7D97">
        <w:rPr>
          <w:lang w:val="en-US"/>
        </w:rPr>
        <w:t>in rural areas of the State party</w:t>
      </w:r>
      <w:r w:rsidR="00AC7D97" w:rsidRPr="006A1576">
        <w:t xml:space="preserve">, linked to the </w:t>
      </w:r>
      <w:r w:rsidR="00865234">
        <w:t>lower socio-economic status of women</w:t>
      </w:r>
      <w:r w:rsidR="00AC7D97">
        <w:rPr>
          <w:lang w:val="en-US"/>
        </w:rPr>
        <w:t xml:space="preserve"> and </w:t>
      </w:r>
      <w:r w:rsidR="004856EA">
        <w:rPr>
          <w:lang w:val="en-US"/>
        </w:rPr>
        <w:t xml:space="preserve">the </w:t>
      </w:r>
      <w:r w:rsidR="00AC7D97" w:rsidRPr="00F67BE2">
        <w:rPr>
          <w:lang w:val="en-US"/>
        </w:rPr>
        <w:t xml:space="preserve">disproportionate impact of climate change, </w:t>
      </w:r>
      <w:r w:rsidR="00AC7D97">
        <w:rPr>
          <w:lang w:val="en-US"/>
        </w:rPr>
        <w:t>desertification</w:t>
      </w:r>
      <w:r w:rsidR="00A16F8B">
        <w:rPr>
          <w:lang w:val="en-US"/>
        </w:rPr>
        <w:t>, and extracti</w:t>
      </w:r>
      <w:r w:rsidR="00DF199E">
        <w:rPr>
          <w:lang w:val="en-US"/>
        </w:rPr>
        <w:t>ve industries</w:t>
      </w:r>
      <w:r w:rsidR="00A16F8B">
        <w:rPr>
          <w:lang w:val="en-US"/>
        </w:rPr>
        <w:t xml:space="preserve"> (uranium)</w:t>
      </w:r>
      <w:r w:rsidR="00886551">
        <w:rPr>
          <w:lang w:val="en-US"/>
        </w:rPr>
        <w:t xml:space="preserve"> </w:t>
      </w:r>
      <w:r w:rsidR="004856EA">
        <w:rPr>
          <w:lang w:val="en-US"/>
        </w:rPr>
        <w:t xml:space="preserve">on </w:t>
      </w:r>
      <w:r w:rsidR="00AC7D97" w:rsidRPr="00F67BE2">
        <w:rPr>
          <w:lang w:val="en-US"/>
        </w:rPr>
        <w:t>women</w:t>
      </w:r>
      <w:r w:rsidR="00AC7D97">
        <w:rPr>
          <w:lang w:val="en-US"/>
        </w:rPr>
        <w:t xml:space="preserve">. </w:t>
      </w:r>
      <w:r w:rsidR="001B491B">
        <w:rPr>
          <w:lang w:val="en-US"/>
        </w:rPr>
        <w:t>It</w:t>
      </w:r>
      <w:r w:rsidR="00AC7D97">
        <w:rPr>
          <w:lang w:val="en-US"/>
        </w:rPr>
        <w:t xml:space="preserve"> </w:t>
      </w:r>
      <w:r w:rsidR="005D2697">
        <w:rPr>
          <w:lang w:val="en-US"/>
        </w:rPr>
        <w:t xml:space="preserve">notes </w:t>
      </w:r>
      <w:r w:rsidR="004856EA">
        <w:rPr>
          <w:lang w:val="en-US"/>
        </w:rPr>
        <w:t xml:space="preserve">that </w:t>
      </w:r>
      <w:r w:rsidR="005D2697">
        <w:rPr>
          <w:lang w:val="en-US"/>
        </w:rPr>
        <w:t>the precarious situation of rural women is exacerbated by</w:t>
      </w:r>
      <w:r w:rsidR="00EE6E3F">
        <w:rPr>
          <w:lang w:val="en-US"/>
        </w:rPr>
        <w:t xml:space="preserve"> customary law </w:t>
      </w:r>
      <w:r w:rsidR="004856EA">
        <w:rPr>
          <w:lang w:val="en-US"/>
        </w:rPr>
        <w:t>provisions on</w:t>
      </w:r>
      <w:r w:rsidR="001B491B">
        <w:rPr>
          <w:lang w:val="en-US"/>
        </w:rPr>
        <w:t xml:space="preserve"> community </w:t>
      </w:r>
      <w:r w:rsidR="005E3DF3">
        <w:rPr>
          <w:lang w:val="en-US"/>
        </w:rPr>
        <w:t>management, which exclude women from the traditional chieftainship,</w:t>
      </w:r>
      <w:r w:rsidR="001B491B">
        <w:rPr>
          <w:lang w:val="en-US"/>
        </w:rPr>
        <w:t xml:space="preserve"> </w:t>
      </w:r>
      <w:r w:rsidR="00AC7D97">
        <w:rPr>
          <w:lang w:val="en-US"/>
        </w:rPr>
        <w:t>a</w:t>
      </w:r>
      <w:r w:rsidR="004856EA">
        <w:rPr>
          <w:lang w:val="en-US"/>
        </w:rPr>
        <w:t>s well as by</w:t>
      </w:r>
      <w:r w:rsidR="00AC7D97">
        <w:rPr>
          <w:lang w:val="en-US"/>
        </w:rPr>
        <w:t xml:space="preserve"> discriminatory land acquisition practices</w:t>
      </w:r>
      <w:r w:rsidR="00BA0BFF">
        <w:rPr>
          <w:lang w:val="en-US"/>
        </w:rPr>
        <w:t>.</w:t>
      </w:r>
      <w:r w:rsidR="00F02042">
        <w:rPr>
          <w:b/>
          <w:lang w:val="en-US"/>
        </w:rPr>
        <w:t xml:space="preserve"> </w:t>
      </w:r>
    </w:p>
    <w:p w14:paraId="24C0B4C1" w14:textId="0E06360E" w:rsidR="00EE6E3F" w:rsidRPr="00F02042" w:rsidRDefault="008B3602" w:rsidP="00F02042">
      <w:pPr>
        <w:pStyle w:val="SingleTxtG"/>
        <w:rPr>
          <w:b/>
          <w:lang w:val="en-US"/>
        </w:rPr>
      </w:pPr>
      <w:r w:rsidRPr="00F02042">
        <w:rPr>
          <w:lang w:val="en-US"/>
        </w:rPr>
        <w:t>37</w:t>
      </w:r>
      <w:r w:rsidR="00EE6E3F" w:rsidRPr="00F02042">
        <w:rPr>
          <w:lang w:val="en-US"/>
        </w:rPr>
        <w:t>.</w:t>
      </w:r>
      <w:r w:rsidR="00EE6E3F" w:rsidRPr="00F02042">
        <w:rPr>
          <w:lang w:val="en-US"/>
        </w:rPr>
        <w:tab/>
      </w:r>
      <w:r w:rsidR="00EE6E3F" w:rsidRPr="00F02042">
        <w:rPr>
          <w:b/>
          <w:lang w:val="en-US"/>
        </w:rPr>
        <w:t xml:space="preserve">In </w:t>
      </w:r>
      <w:r w:rsidR="00BE2EBC" w:rsidRPr="00F02042">
        <w:rPr>
          <w:b/>
          <w:lang w:val="en-US"/>
        </w:rPr>
        <w:t>the light of its general r</w:t>
      </w:r>
      <w:r w:rsidR="00EE6E3F" w:rsidRPr="00F02042">
        <w:rPr>
          <w:b/>
          <w:lang w:val="en-US"/>
        </w:rPr>
        <w:t xml:space="preserve">ecommendation </w:t>
      </w:r>
      <w:r w:rsidR="004856EA" w:rsidRPr="00F02042">
        <w:rPr>
          <w:b/>
          <w:lang w:val="en-US"/>
        </w:rPr>
        <w:t>N</w:t>
      </w:r>
      <w:r w:rsidR="00EE6E3F" w:rsidRPr="00F02042">
        <w:rPr>
          <w:b/>
          <w:lang w:val="en-US"/>
        </w:rPr>
        <w:t xml:space="preserve">o. 34 (2016) on </w:t>
      </w:r>
      <w:r w:rsidR="004856EA" w:rsidRPr="00F02042">
        <w:rPr>
          <w:b/>
          <w:lang w:val="en-US"/>
        </w:rPr>
        <w:t>the rights of r</w:t>
      </w:r>
      <w:r w:rsidR="00626A21" w:rsidRPr="00F02042">
        <w:rPr>
          <w:b/>
          <w:lang w:val="en-US"/>
        </w:rPr>
        <w:t>ural w</w:t>
      </w:r>
      <w:r w:rsidR="00EE6E3F" w:rsidRPr="00F02042">
        <w:rPr>
          <w:b/>
          <w:lang w:val="en-US"/>
        </w:rPr>
        <w:t xml:space="preserve">omen, the Committee </w:t>
      </w:r>
      <w:r w:rsidR="00626A21" w:rsidRPr="00F02042">
        <w:rPr>
          <w:b/>
          <w:lang w:val="en-US"/>
        </w:rPr>
        <w:t xml:space="preserve">recommends </w:t>
      </w:r>
      <w:r w:rsidR="00EE6E3F" w:rsidRPr="00F02042">
        <w:rPr>
          <w:b/>
          <w:lang w:val="en-US"/>
        </w:rPr>
        <w:t xml:space="preserve">that the State party: </w:t>
      </w:r>
    </w:p>
    <w:p w14:paraId="0FE328C2" w14:textId="04D9D9FD" w:rsidR="00EE6E3F" w:rsidRPr="00F02042" w:rsidRDefault="00EE6E3F" w:rsidP="00F02042">
      <w:pPr>
        <w:pStyle w:val="SingleTxtG"/>
        <w:rPr>
          <w:b/>
          <w:i/>
          <w:lang w:val="en-US"/>
        </w:rPr>
      </w:pPr>
      <w:r w:rsidRPr="00F02042">
        <w:rPr>
          <w:b/>
          <w:i/>
          <w:lang w:val="en-US"/>
        </w:rPr>
        <w:tab/>
      </w:r>
      <w:r w:rsidR="00C90533" w:rsidRPr="00F02042">
        <w:rPr>
          <w:b/>
          <w:lang w:val="en-US"/>
        </w:rPr>
        <w:t>(a</w:t>
      </w:r>
      <w:r w:rsidR="00BE2EBC" w:rsidRPr="00F02042">
        <w:rPr>
          <w:b/>
          <w:lang w:val="en-US"/>
        </w:rPr>
        <w:t>)</w:t>
      </w:r>
      <w:r w:rsidR="00BE2EBC" w:rsidRPr="00F02042">
        <w:rPr>
          <w:b/>
          <w:lang w:val="en-US"/>
        </w:rPr>
        <w:tab/>
        <w:t xml:space="preserve">Ensure </w:t>
      </w:r>
      <w:r w:rsidR="004159AC">
        <w:rPr>
          <w:b/>
          <w:lang w:val="en-US"/>
        </w:rPr>
        <w:t xml:space="preserve">inclusion of a gender perspective in all rural development policies and plans with </w:t>
      </w:r>
      <w:r w:rsidR="00BE2EBC" w:rsidRPr="00F02042">
        <w:rPr>
          <w:b/>
          <w:lang w:val="en-US"/>
        </w:rPr>
        <w:t>the participation of women in the preparation, adoption and implementation of national policies and programmes on food security, climate change, disaster response and risk reduction</w:t>
      </w:r>
      <w:r w:rsidRPr="00F02042">
        <w:rPr>
          <w:b/>
          <w:lang w:val="en-US"/>
        </w:rPr>
        <w:t>;</w:t>
      </w:r>
      <w:r w:rsidRPr="00F02042">
        <w:rPr>
          <w:b/>
          <w:i/>
          <w:lang w:val="en-US"/>
        </w:rPr>
        <w:tab/>
      </w:r>
    </w:p>
    <w:p w14:paraId="189F4962" w14:textId="4EFC935E" w:rsidR="00C90533" w:rsidRPr="00F02042" w:rsidRDefault="00C90533" w:rsidP="00F02042">
      <w:pPr>
        <w:pStyle w:val="SingleTxtG"/>
        <w:rPr>
          <w:b/>
          <w:lang w:val="en-US"/>
        </w:rPr>
      </w:pPr>
      <w:r w:rsidRPr="00F02042">
        <w:rPr>
          <w:b/>
          <w:lang w:val="en-US"/>
        </w:rPr>
        <w:tab/>
        <w:t>(b)</w:t>
      </w:r>
      <w:r w:rsidRPr="00F02042">
        <w:rPr>
          <w:b/>
          <w:lang w:val="en-US"/>
        </w:rPr>
        <w:tab/>
        <w:t>Increase the representation of women in community management</w:t>
      </w:r>
      <w:r w:rsidR="004856EA" w:rsidRPr="00F02042">
        <w:rPr>
          <w:b/>
          <w:lang w:val="en-US"/>
        </w:rPr>
        <w:t>, including by</w:t>
      </w:r>
      <w:r w:rsidR="00380D32">
        <w:rPr>
          <w:b/>
          <w:lang w:val="en-US"/>
        </w:rPr>
        <w:t xml:space="preserve"> encouraging the</w:t>
      </w:r>
      <w:r w:rsidR="004856EA" w:rsidRPr="00F02042">
        <w:rPr>
          <w:b/>
          <w:lang w:val="en-US"/>
        </w:rPr>
        <w:t xml:space="preserve"> </w:t>
      </w:r>
      <w:r w:rsidR="00380D32" w:rsidRPr="00F02042">
        <w:rPr>
          <w:b/>
          <w:lang w:val="en-US"/>
        </w:rPr>
        <w:t>amend</w:t>
      </w:r>
      <w:r w:rsidR="00380D32">
        <w:rPr>
          <w:b/>
          <w:lang w:val="en-US"/>
        </w:rPr>
        <w:t>ment of</w:t>
      </w:r>
      <w:r w:rsidR="00380D32" w:rsidRPr="00F02042">
        <w:rPr>
          <w:b/>
          <w:lang w:val="en-US"/>
        </w:rPr>
        <w:t xml:space="preserve"> </w:t>
      </w:r>
      <w:r w:rsidRPr="00F02042">
        <w:rPr>
          <w:b/>
          <w:lang w:val="en-US"/>
        </w:rPr>
        <w:t xml:space="preserve">the rules on traditional chieftainship; </w:t>
      </w:r>
    </w:p>
    <w:p w14:paraId="348C6905" w14:textId="77777777" w:rsidR="004159AC" w:rsidRDefault="00EE6E3F" w:rsidP="00F02042">
      <w:pPr>
        <w:pStyle w:val="SingleTxtG"/>
        <w:rPr>
          <w:b/>
          <w:lang w:val="en-US"/>
        </w:rPr>
      </w:pPr>
      <w:r w:rsidRPr="00F02042">
        <w:rPr>
          <w:b/>
          <w:lang w:val="en-US"/>
        </w:rPr>
        <w:tab/>
        <w:t>(c)</w:t>
      </w:r>
      <w:r w:rsidRPr="00F02042">
        <w:rPr>
          <w:b/>
          <w:lang w:val="en-US"/>
        </w:rPr>
        <w:tab/>
      </w:r>
      <w:r w:rsidR="00CB4EF6" w:rsidRPr="00F02042">
        <w:rPr>
          <w:b/>
          <w:lang w:val="en-US"/>
        </w:rPr>
        <w:t xml:space="preserve">Facilitate women’s access to the acquisition and retention of land and natural resources by revising the customary practices relating to </w:t>
      </w:r>
      <w:r w:rsidR="00D75070" w:rsidRPr="00F02042">
        <w:rPr>
          <w:b/>
          <w:lang w:val="en-US"/>
        </w:rPr>
        <w:t>property</w:t>
      </w:r>
      <w:r w:rsidR="002337EB" w:rsidRPr="00F02042">
        <w:rPr>
          <w:b/>
          <w:lang w:val="en-US"/>
        </w:rPr>
        <w:t xml:space="preserve"> ownership,</w:t>
      </w:r>
      <w:r w:rsidR="00CB4EF6" w:rsidRPr="00F02042">
        <w:rPr>
          <w:b/>
          <w:lang w:val="en-US"/>
        </w:rPr>
        <w:t xml:space="preserve"> acquis</w:t>
      </w:r>
      <w:r w:rsidR="002337EB" w:rsidRPr="00F02042">
        <w:rPr>
          <w:b/>
          <w:lang w:val="en-US"/>
        </w:rPr>
        <w:t>i</w:t>
      </w:r>
      <w:r w:rsidR="00CB4EF6" w:rsidRPr="00F02042">
        <w:rPr>
          <w:b/>
          <w:lang w:val="en-US"/>
        </w:rPr>
        <w:t>tion</w:t>
      </w:r>
      <w:r w:rsidR="002337EB" w:rsidRPr="00F02042">
        <w:rPr>
          <w:b/>
          <w:lang w:val="en-US"/>
        </w:rPr>
        <w:t>, management and disposition</w:t>
      </w:r>
      <w:r w:rsidR="00CB4EF6" w:rsidRPr="00F02042">
        <w:rPr>
          <w:b/>
          <w:lang w:val="en-US"/>
        </w:rPr>
        <w:t xml:space="preserve">; </w:t>
      </w:r>
    </w:p>
    <w:p w14:paraId="31CF0334" w14:textId="125A5D67" w:rsidR="00C90533" w:rsidRPr="00F02042" w:rsidRDefault="004159AC" w:rsidP="00C46C06">
      <w:pPr>
        <w:pStyle w:val="SingleTxtG"/>
        <w:ind w:firstLine="567"/>
        <w:rPr>
          <w:b/>
          <w:lang w:val="en-US"/>
        </w:rPr>
      </w:pPr>
      <w:r>
        <w:rPr>
          <w:b/>
          <w:lang w:val="en-US"/>
        </w:rPr>
        <w:t>(d)</w:t>
      </w:r>
      <w:r>
        <w:rPr>
          <w:b/>
          <w:lang w:val="en-US"/>
        </w:rPr>
        <w:tab/>
        <w:t xml:space="preserve">Ensure that rural women are not negatively impacted by land acquisition for development projects and by the extractive industry; </w:t>
      </w:r>
      <w:r w:rsidR="00CB4EF6" w:rsidRPr="00F02042">
        <w:rPr>
          <w:b/>
          <w:lang w:val="en-US"/>
        </w:rPr>
        <w:t xml:space="preserve">and, </w:t>
      </w:r>
    </w:p>
    <w:p w14:paraId="6DBAAA1E" w14:textId="4AAE61C7" w:rsidR="00A16F8B" w:rsidRPr="00F02042" w:rsidRDefault="00C90533" w:rsidP="00F02042">
      <w:pPr>
        <w:pStyle w:val="SingleTxtG"/>
        <w:rPr>
          <w:b/>
          <w:lang w:val="en-US"/>
        </w:rPr>
      </w:pPr>
      <w:r w:rsidRPr="00F02042">
        <w:rPr>
          <w:b/>
          <w:lang w:val="en-US"/>
        </w:rPr>
        <w:tab/>
        <w:t>(</w:t>
      </w:r>
      <w:r w:rsidR="004159AC">
        <w:rPr>
          <w:b/>
          <w:lang w:val="en-US"/>
        </w:rPr>
        <w:t>e</w:t>
      </w:r>
      <w:r w:rsidRPr="00F02042">
        <w:rPr>
          <w:b/>
          <w:lang w:val="en-US"/>
        </w:rPr>
        <w:t>)</w:t>
      </w:r>
      <w:r w:rsidRPr="00F02042">
        <w:rPr>
          <w:b/>
          <w:lang w:val="en-US"/>
        </w:rPr>
        <w:tab/>
      </w:r>
      <w:r w:rsidR="00EE6E3F" w:rsidRPr="00F02042">
        <w:rPr>
          <w:b/>
          <w:lang w:val="en-US"/>
        </w:rPr>
        <w:t xml:space="preserve">Systematically collect data on the situation of rural women to effectively develop, implement and monitor initiatives to </w:t>
      </w:r>
      <w:r w:rsidR="004856EA" w:rsidRPr="00F02042">
        <w:rPr>
          <w:b/>
          <w:lang w:val="en-US"/>
        </w:rPr>
        <w:t>address</w:t>
      </w:r>
      <w:r w:rsidR="00EE6E3F" w:rsidRPr="00F02042">
        <w:rPr>
          <w:b/>
          <w:lang w:val="en-US"/>
        </w:rPr>
        <w:t xml:space="preserve"> the needs of rural women.</w:t>
      </w:r>
    </w:p>
    <w:p w14:paraId="2D1D4500" w14:textId="77777777" w:rsidR="00EE6E3F" w:rsidRPr="00387496" w:rsidRDefault="00EE6E3F" w:rsidP="00EE6E3F">
      <w:pPr>
        <w:pStyle w:val="H23G"/>
        <w:ind w:firstLine="0"/>
        <w:jc w:val="both"/>
        <w:rPr>
          <w:lang w:val="en-US"/>
        </w:rPr>
      </w:pPr>
      <w:r w:rsidRPr="00387496">
        <w:rPr>
          <w:lang w:val="en-US"/>
        </w:rPr>
        <w:t>Disadvantaged groups of women</w:t>
      </w:r>
    </w:p>
    <w:p w14:paraId="56ECCD77" w14:textId="43F60EBA" w:rsidR="00EE6E3F" w:rsidRPr="00A3039D" w:rsidRDefault="00EE6E3F" w:rsidP="00C41699">
      <w:pPr>
        <w:pStyle w:val="H23G"/>
        <w:jc w:val="both"/>
        <w:rPr>
          <w:b w:val="0"/>
          <w:i/>
          <w:lang w:val="en-US"/>
        </w:rPr>
      </w:pPr>
      <w:r>
        <w:rPr>
          <w:lang w:val="en-US"/>
        </w:rPr>
        <w:tab/>
      </w:r>
      <w:r w:rsidRPr="00A3039D">
        <w:rPr>
          <w:b w:val="0"/>
          <w:i/>
          <w:lang w:val="en-US"/>
        </w:rPr>
        <w:tab/>
        <w:t>Women in detention</w:t>
      </w:r>
    </w:p>
    <w:p w14:paraId="55933E79" w14:textId="519FC212" w:rsidR="00EE6E3F" w:rsidRPr="0056533C" w:rsidRDefault="008B3602" w:rsidP="00F02042">
      <w:pPr>
        <w:pStyle w:val="SingleTxtG"/>
        <w:rPr>
          <w:b/>
          <w:i/>
          <w:lang w:val="en-US"/>
        </w:rPr>
      </w:pPr>
      <w:r>
        <w:rPr>
          <w:lang w:val="en-US"/>
        </w:rPr>
        <w:t>38</w:t>
      </w:r>
      <w:r w:rsidR="00EE6E3F" w:rsidRPr="00387496">
        <w:rPr>
          <w:lang w:val="en-US"/>
        </w:rPr>
        <w:t>.</w:t>
      </w:r>
      <w:r w:rsidR="00EE6E3F" w:rsidRPr="00387496">
        <w:rPr>
          <w:lang w:val="en-US"/>
        </w:rPr>
        <w:tab/>
        <w:t>The Committee notes with concern th</w:t>
      </w:r>
      <w:r w:rsidR="00EE6E3F">
        <w:rPr>
          <w:lang w:val="en-US"/>
        </w:rPr>
        <w:t>at the majority of women in pre-trial detention</w:t>
      </w:r>
      <w:r w:rsidR="00886551">
        <w:rPr>
          <w:lang w:val="en-US"/>
        </w:rPr>
        <w:t xml:space="preserve"> </w:t>
      </w:r>
      <w:r w:rsidR="004856EA">
        <w:rPr>
          <w:lang w:val="en-US"/>
        </w:rPr>
        <w:t xml:space="preserve">in the State party are detained in prisons </w:t>
      </w:r>
      <w:r w:rsidR="00886551">
        <w:rPr>
          <w:lang w:val="en-US"/>
        </w:rPr>
        <w:t>and are not</w:t>
      </w:r>
      <w:r w:rsidR="00864769">
        <w:rPr>
          <w:lang w:val="en-US"/>
        </w:rPr>
        <w:t xml:space="preserve"> systematic</w:t>
      </w:r>
      <w:r w:rsidR="00886551">
        <w:rPr>
          <w:lang w:val="en-US"/>
        </w:rPr>
        <w:t>ally</w:t>
      </w:r>
      <w:r w:rsidR="00864769">
        <w:rPr>
          <w:lang w:val="en-US"/>
        </w:rPr>
        <w:t xml:space="preserve"> separat</w:t>
      </w:r>
      <w:r w:rsidR="00886551">
        <w:rPr>
          <w:lang w:val="en-US"/>
        </w:rPr>
        <w:t>ed</w:t>
      </w:r>
      <w:r w:rsidR="00864769">
        <w:rPr>
          <w:lang w:val="en-US"/>
        </w:rPr>
        <w:t xml:space="preserve"> from convict</w:t>
      </w:r>
      <w:r w:rsidR="00F72CF5">
        <w:rPr>
          <w:lang w:val="en-US"/>
        </w:rPr>
        <w:t>ed inmates</w:t>
      </w:r>
      <w:r w:rsidR="00EE6E3F">
        <w:rPr>
          <w:lang w:val="en-US"/>
        </w:rPr>
        <w:t xml:space="preserve">. It is further concerned about </w:t>
      </w:r>
      <w:r w:rsidR="00F72CF5">
        <w:rPr>
          <w:lang w:val="en-US"/>
        </w:rPr>
        <w:t>women’s</w:t>
      </w:r>
      <w:r w:rsidR="00EE6E3F" w:rsidRPr="00387496">
        <w:rPr>
          <w:lang w:val="en-US"/>
        </w:rPr>
        <w:t xml:space="preserve"> </w:t>
      </w:r>
      <w:r w:rsidR="00F72CF5">
        <w:rPr>
          <w:lang w:val="en-US"/>
        </w:rPr>
        <w:t xml:space="preserve">poor </w:t>
      </w:r>
      <w:r w:rsidR="00EE6E3F" w:rsidRPr="00387496">
        <w:rPr>
          <w:lang w:val="en-US"/>
        </w:rPr>
        <w:t xml:space="preserve">conditions of </w:t>
      </w:r>
      <w:r w:rsidR="00F72CF5">
        <w:rPr>
          <w:lang w:val="en-US"/>
        </w:rPr>
        <w:t>detention</w:t>
      </w:r>
      <w:r w:rsidR="00EE6E3F" w:rsidRPr="00387496">
        <w:rPr>
          <w:lang w:val="en-US"/>
        </w:rPr>
        <w:t xml:space="preserve">, including </w:t>
      </w:r>
      <w:r w:rsidR="00EE6E3F">
        <w:rPr>
          <w:lang w:val="en-US"/>
        </w:rPr>
        <w:t>overcrowding and lack of access to food, drinking water and adequate sanitary conditions</w:t>
      </w:r>
      <w:r w:rsidR="00864769">
        <w:rPr>
          <w:lang w:val="en-US"/>
        </w:rPr>
        <w:t>.</w:t>
      </w:r>
    </w:p>
    <w:p w14:paraId="0CD0858C" w14:textId="0F66E32C" w:rsidR="00EE6E3F" w:rsidRPr="00F02042" w:rsidRDefault="008B3602" w:rsidP="00F02042">
      <w:pPr>
        <w:pStyle w:val="SingleTxtG"/>
        <w:rPr>
          <w:b/>
          <w:lang w:val="en-US"/>
        </w:rPr>
      </w:pPr>
      <w:r w:rsidRPr="00F02042">
        <w:rPr>
          <w:lang w:val="en-US"/>
        </w:rPr>
        <w:t>39</w:t>
      </w:r>
      <w:r w:rsidR="00EE6E3F" w:rsidRPr="00F02042">
        <w:rPr>
          <w:lang w:val="en-US"/>
        </w:rPr>
        <w:t>.</w:t>
      </w:r>
      <w:r w:rsidR="00EE6E3F" w:rsidRPr="00F02042">
        <w:rPr>
          <w:lang w:val="en-US"/>
        </w:rPr>
        <w:tab/>
      </w:r>
      <w:r w:rsidR="00EE6E3F" w:rsidRPr="00F02042">
        <w:rPr>
          <w:b/>
          <w:lang w:val="en-US"/>
        </w:rPr>
        <w:t>The Committee recommends that the State party implement the United Nations Rules for the Treatment of Women Prisoners and Non-custodial Measures for Women O</w:t>
      </w:r>
      <w:r w:rsidR="00626A21" w:rsidRPr="00F02042">
        <w:rPr>
          <w:b/>
          <w:lang w:val="en-US"/>
        </w:rPr>
        <w:t xml:space="preserve">ffenders (the Bangkok Rules), </w:t>
      </w:r>
      <w:r w:rsidR="00EE6E3F" w:rsidRPr="00F02042">
        <w:rPr>
          <w:b/>
          <w:lang w:val="en-US"/>
        </w:rPr>
        <w:t xml:space="preserve">guarantee the separation of detained women </w:t>
      </w:r>
      <w:r w:rsidR="00626A21" w:rsidRPr="00F02042">
        <w:rPr>
          <w:b/>
          <w:lang w:val="en-US"/>
        </w:rPr>
        <w:t>from convicts and</w:t>
      </w:r>
      <w:r w:rsidR="00EE6E3F" w:rsidRPr="00F02042">
        <w:rPr>
          <w:b/>
          <w:lang w:val="en-US"/>
        </w:rPr>
        <w:t xml:space="preserve"> ensure </w:t>
      </w:r>
      <w:r w:rsidR="00A36890" w:rsidRPr="00F02042">
        <w:rPr>
          <w:b/>
          <w:lang w:val="en-US"/>
        </w:rPr>
        <w:t>their</w:t>
      </w:r>
      <w:r w:rsidR="00EE6E3F" w:rsidRPr="00F02042">
        <w:rPr>
          <w:b/>
          <w:lang w:val="en-US"/>
        </w:rPr>
        <w:t xml:space="preserve"> access to adequate</w:t>
      </w:r>
      <w:r w:rsidR="00626A21" w:rsidRPr="00F02042">
        <w:rPr>
          <w:b/>
          <w:lang w:val="en-US"/>
        </w:rPr>
        <w:t xml:space="preserve"> </w:t>
      </w:r>
      <w:r w:rsidR="00EE6E3F" w:rsidRPr="00F02042">
        <w:rPr>
          <w:b/>
          <w:lang w:val="en-US"/>
        </w:rPr>
        <w:t>nutrition, drinking water, sanitation and health-care.</w:t>
      </w:r>
    </w:p>
    <w:p w14:paraId="369FFA51" w14:textId="77777777" w:rsidR="00EE6E3F" w:rsidRPr="00A3039D" w:rsidRDefault="00EE6E3F" w:rsidP="00EE6E3F">
      <w:pPr>
        <w:pStyle w:val="H23G"/>
        <w:ind w:firstLine="0"/>
        <w:jc w:val="both"/>
        <w:rPr>
          <w:b w:val="0"/>
          <w:i/>
          <w:lang w:val="en-US"/>
        </w:rPr>
      </w:pPr>
      <w:r w:rsidRPr="00A3039D">
        <w:rPr>
          <w:b w:val="0"/>
          <w:i/>
          <w:lang w:val="en-US"/>
        </w:rPr>
        <w:t>Women with disabilities</w:t>
      </w:r>
    </w:p>
    <w:p w14:paraId="3252C094" w14:textId="16F566B2" w:rsidR="00EE6E3F" w:rsidRPr="00C807A3" w:rsidRDefault="008B3602" w:rsidP="00F02042">
      <w:pPr>
        <w:pStyle w:val="SingleTxtG"/>
        <w:rPr>
          <w:b/>
          <w:lang w:val="en-US"/>
        </w:rPr>
      </w:pPr>
      <w:r>
        <w:rPr>
          <w:lang w:val="en-US"/>
        </w:rPr>
        <w:t>40</w:t>
      </w:r>
      <w:r w:rsidR="00EE6E3F" w:rsidRPr="00387496">
        <w:rPr>
          <w:lang w:val="en-US"/>
        </w:rPr>
        <w:t>.</w:t>
      </w:r>
      <w:r w:rsidR="00EE6E3F" w:rsidRPr="00387496">
        <w:rPr>
          <w:lang w:val="en-US"/>
        </w:rPr>
        <w:tab/>
        <w:t xml:space="preserve">The Committee </w:t>
      </w:r>
      <w:r w:rsidR="00626A21">
        <w:rPr>
          <w:lang w:val="en-US"/>
        </w:rPr>
        <w:t>welcomes the Constitution</w:t>
      </w:r>
      <w:r w:rsidR="00A36890">
        <w:rPr>
          <w:lang w:val="en-US"/>
        </w:rPr>
        <w:t>al</w:t>
      </w:r>
      <w:r w:rsidR="00EE6E3F">
        <w:rPr>
          <w:lang w:val="en-US"/>
        </w:rPr>
        <w:t xml:space="preserve"> prohibition of discrimination against persons with disabilities</w:t>
      </w:r>
      <w:r w:rsidR="00EE6E3F" w:rsidRPr="00D4168C">
        <w:t xml:space="preserve"> </w:t>
      </w:r>
      <w:r w:rsidR="00EE6E3F">
        <w:rPr>
          <w:lang w:val="en-US"/>
        </w:rPr>
        <w:t xml:space="preserve">and </w:t>
      </w:r>
      <w:r w:rsidR="00EE6E3F" w:rsidRPr="00D4168C">
        <w:rPr>
          <w:lang w:val="en-US"/>
        </w:rPr>
        <w:t>the</w:t>
      </w:r>
      <w:r w:rsidR="00EE6E3F">
        <w:rPr>
          <w:lang w:val="en-US"/>
        </w:rPr>
        <w:t>ir</w:t>
      </w:r>
      <w:r w:rsidR="00EE6E3F" w:rsidRPr="00D4168C">
        <w:rPr>
          <w:lang w:val="en-US"/>
        </w:rPr>
        <w:t xml:space="preserve"> equality </w:t>
      </w:r>
      <w:r w:rsidR="00EE6E3F">
        <w:rPr>
          <w:lang w:val="en-US"/>
        </w:rPr>
        <w:t xml:space="preserve">of </w:t>
      </w:r>
      <w:r w:rsidR="00EE6E3F" w:rsidRPr="00D4168C">
        <w:rPr>
          <w:lang w:val="en-US"/>
        </w:rPr>
        <w:t>opportunities</w:t>
      </w:r>
      <w:r w:rsidR="00EE6E3F">
        <w:rPr>
          <w:lang w:val="en-US"/>
        </w:rPr>
        <w:t xml:space="preserve"> (articles 22 and 26). However, it </w:t>
      </w:r>
      <w:r w:rsidR="00EE6E3F" w:rsidRPr="00387496">
        <w:rPr>
          <w:lang w:val="en-US"/>
        </w:rPr>
        <w:t xml:space="preserve">notes </w:t>
      </w:r>
      <w:r w:rsidR="00EE6E3F">
        <w:rPr>
          <w:lang w:val="en-US"/>
        </w:rPr>
        <w:t xml:space="preserve">that </w:t>
      </w:r>
      <w:r w:rsidR="00EE6E3F" w:rsidRPr="00341D2B">
        <w:rPr>
          <w:lang w:val="en-US"/>
        </w:rPr>
        <w:t xml:space="preserve">the rights of </w:t>
      </w:r>
      <w:r w:rsidR="00EE6E3F">
        <w:rPr>
          <w:lang w:val="en-US"/>
        </w:rPr>
        <w:t xml:space="preserve">women and girls with disabilities are not protected by any specific legislative </w:t>
      </w:r>
      <w:r w:rsidR="00F72CF5">
        <w:rPr>
          <w:lang w:val="en-US"/>
        </w:rPr>
        <w:t>law</w:t>
      </w:r>
      <w:r w:rsidR="00EE6E3F">
        <w:rPr>
          <w:lang w:val="en-US"/>
        </w:rPr>
        <w:t>, policy or plan of action</w:t>
      </w:r>
      <w:r w:rsidR="00F72CF5">
        <w:rPr>
          <w:lang w:val="en-US"/>
        </w:rPr>
        <w:t>,</w:t>
      </w:r>
      <w:r w:rsidR="00EE6E3F" w:rsidRPr="00D4168C">
        <w:t xml:space="preserve"> </w:t>
      </w:r>
      <w:r w:rsidR="00EE6E3F" w:rsidRPr="00D4168C">
        <w:rPr>
          <w:lang w:val="en-US"/>
        </w:rPr>
        <w:t xml:space="preserve">including </w:t>
      </w:r>
      <w:r w:rsidR="00F72CF5">
        <w:rPr>
          <w:lang w:val="en-US"/>
        </w:rPr>
        <w:t>as regards</w:t>
      </w:r>
      <w:r w:rsidR="00EE6E3F" w:rsidRPr="00D4168C">
        <w:rPr>
          <w:lang w:val="en-US"/>
        </w:rPr>
        <w:t xml:space="preserve"> their social protection</w:t>
      </w:r>
      <w:r w:rsidR="00EE6E3F">
        <w:rPr>
          <w:lang w:val="en-US"/>
        </w:rPr>
        <w:t xml:space="preserve">. </w:t>
      </w:r>
      <w:r w:rsidR="00F72CF5">
        <w:rPr>
          <w:lang w:val="en-US"/>
        </w:rPr>
        <w:t>The Committee further notes the absence of a</w:t>
      </w:r>
      <w:r w:rsidR="00025A64">
        <w:rPr>
          <w:lang w:val="en-US"/>
        </w:rPr>
        <w:t xml:space="preserve"> </w:t>
      </w:r>
      <w:r w:rsidR="00A36890">
        <w:rPr>
          <w:lang w:val="en-US"/>
        </w:rPr>
        <w:t xml:space="preserve">legal </w:t>
      </w:r>
      <w:r w:rsidR="00025A64">
        <w:rPr>
          <w:lang w:val="en-US"/>
        </w:rPr>
        <w:t>definition of disability</w:t>
      </w:r>
      <w:r w:rsidR="00EE6E3F">
        <w:rPr>
          <w:lang w:val="en-US"/>
        </w:rPr>
        <w:t xml:space="preserve"> or the obligation to provide reasonable accommodation.</w:t>
      </w:r>
    </w:p>
    <w:p w14:paraId="2BB2CEB9" w14:textId="77777777" w:rsidR="00EE6E3F" w:rsidRPr="00F02042" w:rsidRDefault="008B3602" w:rsidP="00F02042">
      <w:pPr>
        <w:pStyle w:val="SingleTxtG"/>
        <w:rPr>
          <w:b/>
          <w:lang w:val="en-US"/>
        </w:rPr>
      </w:pPr>
      <w:r w:rsidRPr="00F02042">
        <w:rPr>
          <w:lang w:val="en-US"/>
        </w:rPr>
        <w:t>41</w:t>
      </w:r>
      <w:r w:rsidR="00EE6E3F" w:rsidRPr="00F02042">
        <w:rPr>
          <w:lang w:val="en-US"/>
        </w:rPr>
        <w:t>.</w:t>
      </w:r>
      <w:r w:rsidR="00EE6E3F" w:rsidRPr="00F02042">
        <w:rPr>
          <w:lang w:val="en-US"/>
        </w:rPr>
        <w:tab/>
      </w:r>
      <w:r w:rsidR="00EE6E3F" w:rsidRPr="00F02042">
        <w:rPr>
          <w:b/>
          <w:lang w:val="en-US"/>
        </w:rPr>
        <w:t>The Committee, recalling its general recommendation No. 18 (1991) on disabled women, recommends that the State party:</w:t>
      </w:r>
    </w:p>
    <w:p w14:paraId="05B16AB3" w14:textId="23EA5D76" w:rsidR="00EE6E3F" w:rsidRPr="00F02042" w:rsidRDefault="00EE6E3F" w:rsidP="00F02042">
      <w:pPr>
        <w:pStyle w:val="SingleTxtG"/>
        <w:rPr>
          <w:b/>
          <w:lang w:val="en-US"/>
        </w:rPr>
      </w:pPr>
      <w:r w:rsidRPr="00F02042">
        <w:rPr>
          <w:b/>
          <w:lang w:val="en-US"/>
        </w:rPr>
        <w:tab/>
        <w:t>(a)</w:t>
      </w:r>
      <w:r w:rsidRPr="00F02042">
        <w:rPr>
          <w:b/>
          <w:lang w:val="en-US"/>
        </w:rPr>
        <w:tab/>
        <w:t xml:space="preserve">Adopt a law on the social protection of persons with disabilities and establish a mechanism to monitor its enforcement, ensuring that perpetrators of discrimination and gender-based violence against women and girls with disabilities are </w:t>
      </w:r>
      <w:r w:rsidR="00F72CF5" w:rsidRPr="00F02042">
        <w:rPr>
          <w:b/>
          <w:lang w:val="en-US"/>
        </w:rPr>
        <w:t xml:space="preserve">adequately </w:t>
      </w:r>
      <w:r w:rsidRPr="00F02042">
        <w:rPr>
          <w:b/>
          <w:lang w:val="en-US"/>
        </w:rPr>
        <w:t xml:space="preserve">punished and </w:t>
      </w:r>
      <w:r w:rsidR="00025A64" w:rsidRPr="00F02042">
        <w:rPr>
          <w:b/>
          <w:lang w:val="en-US"/>
        </w:rPr>
        <w:t xml:space="preserve">that </w:t>
      </w:r>
      <w:r w:rsidRPr="00F02042">
        <w:rPr>
          <w:b/>
          <w:lang w:val="en-US"/>
        </w:rPr>
        <w:t xml:space="preserve">victims </w:t>
      </w:r>
      <w:r w:rsidR="00025A64" w:rsidRPr="00F02042">
        <w:rPr>
          <w:b/>
          <w:lang w:val="en-US"/>
        </w:rPr>
        <w:t xml:space="preserve">are </w:t>
      </w:r>
      <w:r w:rsidRPr="00F02042">
        <w:rPr>
          <w:b/>
          <w:lang w:val="en-US"/>
        </w:rPr>
        <w:t>adequately compensated;</w:t>
      </w:r>
    </w:p>
    <w:p w14:paraId="02570031" w14:textId="71103C46" w:rsidR="00EE6E3F" w:rsidRPr="00F02042" w:rsidRDefault="00371DA4" w:rsidP="00F02042">
      <w:pPr>
        <w:pStyle w:val="SingleTxtG"/>
        <w:rPr>
          <w:b/>
          <w:lang w:val="en-US"/>
        </w:rPr>
      </w:pPr>
      <w:r w:rsidRPr="00F02042">
        <w:rPr>
          <w:b/>
          <w:lang w:val="en-US"/>
        </w:rPr>
        <w:tab/>
        <w:t>(b</w:t>
      </w:r>
      <w:r w:rsidR="00EE6E3F" w:rsidRPr="00F02042">
        <w:rPr>
          <w:b/>
          <w:lang w:val="en-US"/>
        </w:rPr>
        <w:t>)</w:t>
      </w:r>
      <w:r w:rsidR="00EE6E3F" w:rsidRPr="00F02042">
        <w:rPr>
          <w:b/>
          <w:lang w:val="en-US"/>
        </w:rPr>
        <w:tab/>
        <w:t>Ensure that women and girls with disabilities have effective access to justice, political and public life, education, income-generating activities and health care, including sexual and re</w:t>
      </w:r>
      <w:r w:rsidRPr="00F02042">
        <w:rPr>
          <w:b/>
          <w:lang w:val="en-US"/>
        </w:rPr>
        <w:t>productive health</w:t>
      </w:r>
      <w:r w:rsidR="00F72CF5" w:rsidRPr="00F02042">
        <w:rPr>
          <w:b/>
          <w:lang w:val="en-US"/>
        </w:rPr>
        <w:t xml:space="preserve"> </w:t>
      </w:r>
      <w:r w:rsidRPr="00F02042">
        <w:rPr>
          <w:b/>
          <w:lang w:val="en-US"/>
        </w:rPr>
        <w:t>care services;</w:t>
      </w:r>
    </w:p>
    <w:p w14:paraId="5EAEFCE4" w14:textId="1D64704D" w:rsidR="00371DA4" w:rsidRPr="00F02042" w:rsidRDefault="00371DA4" w:rsidP="00F02042">
      <w:pPr>
        <w:pStyle w:val="SingleTxtG"/>
        <w:rPr>
          <w:b/>
          <w:lang w:val="en-US"/>
        </w:rPr>
      </w:pPr>
      <w:r w:rsidRPr="00F02042">
        <w:rPr>
          <w:b/>
          <w:lang w:val="en-US"/>
        </w:rPr>
        <w:tab/>
      </w:r>
      <w:r w:rsidR="00B230A5" w:rsidRPr="00F02042">
        <w:rPr>
          <w:b/>
          <w:lang w:val="en-US"/>
        </w:rPr>
        <w:t>(c</w:t>
      </w:r>
      <w:r w:rsidRPr="00F02042">
        <w:rPr>
          <w:b/>
          <w:lang w:val="en-US"/>
        </w:rPr>
        <w:t>)</w:t>
      </w:r>
      <w:r w:rsidRPr="00F02042">
        <w:rPr>
          <w:b/>
          <w:lang w:val="en-US"/>
        </w:rPr>
        <w:tab/>
        <w:t>Undertake awareness-raising to change negative attitudes towards wo</w:t>
      </w:r>
      <w:r w:rsidR="00B230A5" w:rsidRPr="00F02042">
        <w:rPr>
          <w:b/>
          <w:lang w:val="en-US"/>
        </w:rPr>
        <w:t>men and girls with disabilities; and,</w:t>
      </w:r>
    </w:p>
    <w:p w14:paraId="7A288D4B" w14:textId="77777777" w:rsidR="00B230A5" w:rsidRPr="00F02042" w:rsidRDefault="00B230A5" w:rsidP="00F02042">
      <w:pPr>
        <w:pStyle w:val="SingleTxtG"/>
        <w:ind w:firstLine="567"/>
        <w:rPr>
          <w:b/>
          <w:lang w:val="en-US"/>
        </w:rPr>
      </w:pPr>
      <w:r w:rsidRPr="00F02042">
        <w:rPr>
          <w:b/>
          <w:lang w:val="en-US"/>
        </w:rPr>
        <w:t>(d)</w:t>
      </w:r>
      <w:r w:rsidRPr="00F02042">
        <w:rPr>
          <w:b/>
          <w:lang w:val="en-US"/>
        </w:rPr>
        <w:tab/>
        <w:t>Carry out a census of the number of persons with disabilities, disaggregated by sex, age and region.</w:t>
      </w:r>
    </w:p>
    <w:p w14:paraId="00C17E9F" w14:textId="5CD18CA2" w:rsidR="00EE6E3F" w:rsidRPr="00D62C4F" w:rsidRDefault="00EE6E3F" w:rsidP="00EE6E3F">
      <w:pPr>
        <w:pStyle w:val="H23G"/>
        <w:ind w:firstLine="0"/>
        <w:jc w:val="both"/>
        <w:rPr>
          <w:lang w:val="en-US"/>
        </w:rPr>
      </w:pPr>
      <w:r w:rsidRPr="00D62C4F">
        <w:rPr>
          <w:lang w:val="en-US"/>
        </w:rPr>
        <w:t>Marriage and family relations</w:t>
      </w:r>
    </w:p>
    <w:p w14:paraId="315C133A" w14:textId="6463A8AF" w:rsidR="00025A64" w:rsidRDefault="008B3602" w:rsidP="00F02042">
      <w:pPr>
        <w:pStyle w:val="SingleTxtG"/>
        <w:rPr>
          <w:b/>
          <w:lang w:val="en-US"/>
        </w:rPr>
      </w:pPr>
      <w:r>
        <w:rPr>
          <w:lang w:val="en-US"/>
        </w:rPr>
        <w:t>42</w:t>
      </w:r>
      <w:r w:rsidR="00EE6E3F" w:rsidRPr="00E62254">
        <w:rPr>
          <w:lang w:val="en-US"/>
        </w:rPr>
        <w:t>.</w:t>
      </w:r>
      <w:r w:rsidR="00EE6E3F" w:rsidRPr="00E62254">
        <w:rPr>
          <w:lang w:val="en-US"/>
        </w:rPr>
        <w:tab/>
      </w:r>
      <w:r w:rsidR="00EE6E3F">
        <w:rPr>
          <w:lang w:val="en-US"/>
        </w:rPr>
        <w:t>The Committee is concerned about</w:t>
      </w:r>
      <w:r w:rsidR="00025A64">
        <w:rPr>
          <w:lang w:val="en-US"/>
        </w:rPr>
        <w:t>:</w:t>
      </w:r>
    </w:p>
    <w:p w14:paraId="689498E6" w14:textId="1EE9E6F6" w:rsidR="00025A64" w:rsidRDefault="00025A64" w:rsidP="00F02042">
      <w:pPr>
        <w:pStyle w:val="SingleTxtG"/>
        <w:rPr>
          <w:b/>
          <w:lang w:val="en-US"/>
        </w:rPr>
      </w:pPr>
      <w:r>
        <w:rPr>
          <w:lang w:val="en-US"/>
        </w:rPr>
        <w:tab/>
        <w:t>(a)</w:t>
      </w:r>
      <w:r>
        <w:rPr>
          <w:lang w:val="en-US"/>
        </w:rPr>
        <w:tab/>
        <w:t>T</w:t>
      </w:r>
      <w:r w:rsidR="00EE6E3F">
        <w:rPr>
          <w:lang w:val="en-US"/>
        </w:rPr>
        <w:t xml:space="preserve">he extremely high </w:t>
      </w:r>
      <w:r w:rsidR="009956F0">
        <w:rPr>
          <w:lang w:val="en-US"/>
        </w:rPr>
        <w:t xml:space="preserve">rate </w:t>
      </w:r>
      <w:r w:rsidR="00EE6E3F">
        <w:rPr>
          <w:lang w:val="en-US"/>
        </w:rPr>
        <w:t xml:space="preserve">of early, child and forced marriage </w:t>
      </w:r>
      <w:r w:rsidR="00600AA5">
        <w:rPr>
          <w:lang w:val="en-US"/>
        </w:rPr>
        <w:t>in the State party, affecting a quarter of married women and girls, which is compounded by the absence of any legal framework or strategic action to prohibit th</w:t>
      </w:r>
      <w:r w:rsidR="00F72CF5">
        <w:rPr>
          <w:lang w:val="en-US"/>
        </w:rPr>
        <w:t>is</w:t>
      </w:r>
      <w:r w:rsidR="00600AA5">
        <w:rPr>
          <w:lang w:val="en-US"/>
        </w:rPr>
        <w:t xml:space="preserve"> </w:t>
      </w:r>
      <w:r w:rsidR="00F72CF5">
        <w:rPr>
          <w:lang w:val="en-US"/>
        </w:rPr>
        <w:t xml:space="preserve">harmful </w:t>
      </w:r>
      <w:r w:rsidR="00600AA5">
        <w:rPr>
          <w:lang w:val="en-US"/>
        </w:rPr>
        <w:t xml:space="preserve">practice. The Committee </w:t>
      </w:r>
      <w:r w:rsidR="00F72CF5">
        <w:rPr>
          <w:lang w:val="en-US"/>
        </w:rPr>
        <w:t>notes</w:t>
      </w:r>
      <w:r w:rsidR="00600AA5">
        <w:rPr>
          <w:lang w:val="en-US"/>
        </w:rPr>
        <w:t xml:space="preserve"> the link between the high rates of child marriage, fertility and maternal mortality rates</w:t>
      </w:r>
      <w:r w:rsidR="00F72CF5">
        <w:rPr>
          <w:lang w:val="en-US"/>
        </w:rPr>
        <w:t xml:space="preserve"> and the</w:t>
      </w:r>
      <w:r w:rsidR="00600AA5">
        <w:rPr>
          <w:lang w:val="en-US"/>
        </w:rPr>
        <w:t xml:space="preserve"> disproportionately high illiteracy and poverty rates </w:t>
      </w:r>
      <w:r w:rsidR="00F72CF5">
        <w:rPr>
          <w:lang w:val="en-US"/>
        </w:rPr>
        <w:t>among</w:t>
      </w:r>
      <w:r w:rsidR="00600AA5">
        <w:rPr>
          <w:lang w:val="en-US"/>
        </w:rPr>
        <w:t xml:space="preserve"> women in the State party. I</w:t>
      </w:r>
      <w:r w:rsidR="00EE6E3F">
        <w:rPr>
          <w:lang w:val="en-US"/>
        </w:rPr>
        <w:t xml:space="preserve">t notes </w:t>
      </w:r>
      <w:r w:rsidR="00F72CF5">
        <w:rPr>
          <w:lang w:val="en-US"/>
        </w:rPr>
        <w:t>that</w:t>
      </w:r>
      <w:r w:rsidR="00BE3FEE">
        <w:rPr>
          <w:lang w:val="en-US"/>
        </w:rPr>
        <w:t xml:space="preserve"> most </w:t>
      </w:r>
      <w:r w:rsidR="00F72CF5">
        <w:rPr>
          <w:lang w:val="en-US"/>
        </w:rPr>
        <w:t xml:space="preserve">child </w:t>
      </w:r>
      <w:r w:rsidR="00BE3FEE">
        <w:rPr>
          <w:lang w:val="en-US"/>
        </w:rPr>
        <w:t xml:space="preserve">marriages </w:t>
      </w:r>
      <w:r w:rsidR="00F72CF5">
        <w:rPr>
          <w:lang w:val="en-US"/>
        </w:rPr>
        <w:t>are</w:t>
      </w:r>
      <w:r w:rsidR="00BE3FEE">
        <w:rPr>
          <w:lang w:val="en-US"/>
        </w:rPr>
        <w:t xml:space="preserve"> conducted under customary </w:t>
      </w:r>
      <w:r w:rsidR="005E3DF3">
        <w:rPr>
          <w:lang w:val="en-US"/>
        </w:rPr>
        <w:t>law, which</w:t>
      </w:r>
      <w:r w:rsidR="00BE3FEE">
        <w:rPr>
          <w:lang w:val="en-US"/>
        </w:rPr>
        <w:t xml:space="preserve"> does </w:t>
      </w:r>
      <w:r w:rsidR="00BE3FEE" w:rsidRPr="00BE3FEE">
        <w:rPr>
          <w:lang w:val="en-US"/>
        </w:rPr>
        <w:t xml:space="preserve">not require the consent of </w:t>
      </w:r>
      <w:r w:rsidR="00F72CF5">
        <w:rPr>
          <w:lang w:val="en-US"/>
        </w:rPr>
        <w:t xml:space="preserve">the </w:t>
      </w:r>
      <w:r w:rsidR="00BE3FEE" w:rsidRPr="00BE3FEE">
        <w:rPr>
          <w:lang w:val="en-US"/>
        </w:rPr>
        <w:t>future spouses for marriage or a minimum age for marriage</w:t>
      </w:r>
      <w:r>
        <w:rPr>
          <w:lang w:val="en-US"/>
        </w:rPr>
        <w:t>;</w:t>
      </w:r>
    </w:p>
    <w:p w14:paraId="5B66231A" w14:textId="75C78485" w:rsidR="00025A64" w:rsidRDefault="00025A64" w:rsidP="00F02042">
      <w:pPr>
        <w:pStyle w:val="SingleTxtG"/>
        <w:rPr>
          <w:b/>
          <w:lang w:val="en-US"/>
        </w:rPr>
      </w:pPr>
      <w:r>
        <w:rPr>
          <w:lang w:val="en-US"/>
        </w:rPr>
        <w:tab/>
        <w:t>(b)</w:t>
      </w:r>
      <w:r>
        <w:rPr>
          <w:lang w:val="en-US"/>
        </w:rPr>
        <w:tab/>
        <w:t>The</w:t>
      </w:r>
      <w:r w:rsidR="00BE3FEE">
        <w:rPr>
          <w:lang w:val="en-US"/>
        </w:rPr>
        <w:t xml:space="preserve"> discriminatory provisions in the Civil Code regarding the </w:t>
      </w:r>
      <w:r w:rsidR="00C00515">
        <w:rPr>
          <w:lang w:val="en-US"/>
        </w:rPr>
        <w:t xml:space="preserve">legal </w:t>
      </w:r>
      <w:r w:rsidR="00EE6E3F" w:rsidRPr="00BE3FEE">
        <w:rPr>
          <w:lang w:val="en-US"/>
        </w:rPr>
        <w:t>minimum age for marriage for girls</w:t>
      </w:r>
      <w:r w:rsidR="00BE3FEE" w:rsidRPr="00BE3FEE">
        <w:rPr>
          <w:lang w:val="en-US"/>
        </w:rPr>
        <w:t xml:space="preserve"> (15)</w:t>
      </w:r>
      <w:r w:rsidR="00EE6E3F" w:rsidRPr="00BE3FEE">
        <w:rPr>
          <w:lang w:val="en-US"/>
        </w:rPr>
        <w:t xml:space="preserve"> and for boys</w:t>
      </w:r>
      <w:r w:rsidR="00BE3FEE" w:rsidRPr="00BE3FEE">
        <w:rPr>
          <w:lang w:val="en-US"/>
        </w:rPr>
        <w:t xml:space="preserve"> (18)</w:t>
      </w:r>
      <w:r w:rsidR="00961D3C">
        <w:rPr>
          <w:lang w:val="en-US"/>
        </w:rPr>
        <w:t xml:space="preserve"> (</w:t>
      </w:r>
      <w:r w:rsidR="00307DBF">
        <w:rPr>
          <w:lang w:val="en-US"/>
        </w:rPr>
        <w:t>a</w:t>
      </w:r>
      <w:r w:rsidR="005E3DF3">
        <w:rPr>
          <w:lang w:val="en-US"/>
        </w:rPr>
        <w:t xml:space="preserve">rt. 144) </w:t>
      </w:r>
      <w:r w:rsidR="00BE3FEE" w:rsidRPr="00BE3FEE">
        <w:rPr>
          <w:lang w:val="en-US"/>
        </w:rPr>
        <w:t xml:space="preserve">and </w:t>
      </w:r>
      <w:r w:rsidR="00BE3FEE">
        <w:rPr>
          <w:lang w:val="en-US"/>
        </w:rPr>
        <w:t xml:space="preserve">permitting parents to substitute their consent for marriage of their daughters (art. </w:t>
      </w:r>
      <w:r w:rsidR="00BE3FEE" w:rsidRPr="00BE3FEE">
        <w:rPr>
          <w:lang w:val="en-US"/>
        </w:rPr>
        <w:t>148</w:t>
      </w:r>
      <w:r w:rsidR="00BE3FEE">
        <w:rPr>
          <w:lang w:val="en-US"/>
        </w:rPr>
        <w:t>)</w:t>
      </w:r>
      <w:r>
        <w:rPr>
          <w:lang w:val="en-US"/>
        </w:rPr>
        <w:t>; and,</w:t>
      </w:r>
      <w:r w:rsidR="00BE3FEE">
        <w:rPr>
          <w:lang w:val="en-US"/>
        </w:rPr>
        <w:t xml:space="preserve"> </w:t>
      </w:r>
    </w:p>
    <w:p w14:paraId="1A233D5B" w14:textId="1B57E7AD" w:rsidR="00EE6E3F" w:rsidRDefault="00025A64" w:rsidP="00F02042">
      <w:pPr>
        <w:pStyle w:val="SingleTxtG"/>
        <w:rPr>
          <w:lang w:val="en-US"/>
        </w:rPr>
      </w:pPr>
      <w:r>
        <w:rPr>
          <w:lang w:val="en-US"/>
        </w:rPr>
        <w:tab/>
        <w:t>(c)</w:t>
      </w:r>
      <w:r>
        <w:rPr>
          <w:lang w:val="en-US"/>
        </w:rPr>
        <w:tab/>
        <w:t xml:space="preserve">The acceptance of </w:t>
      </w:r>
      <w:r w:rsidR="00D602E1" w:rsidRPr="00D602E1">
        <w:rPr>
          <w:lang w:val="en-US"/>
        </w:rPr>
        <w:t>p</w:t>
      </w:r>
      <w:r w:rsidR="00EE6E3F" w:rsidRPr="00D602E1">
        <w:rPr>
          <w:lang w:val="en-US"/>
        </w:rPr>
        <w:t>olygamy and repudiation under customary law</w:t>
      </w:r>
      <w:r w:rsidR="00D602E1" w:rsidRPr="00D602E1">
        <w:rPr>
          <w:lang w:val="en-US"/>
        </w:rPr>
        <w:t>.</w:t>
      </w:r>
    </w:p>
    <w:p w14:paraId="54F58A40" w14:textId="630E144B" w:rsidR="00EE6E3F" w:rsidRPr="00F02042" w:rsidRDefault="008B3602" w:rsidP="00F02042">
      <w:pPr>
        <w:pStyle w:val="SingleTxtG"/>
        <w:rPr>
          <w:b/>
        </w:rPr>
      </w:pPr>
      <w:r w:rsidRPr="00F02042">
        <w:t>43</w:t>
      </w:r>
      <w:r w:rsidR="00EE6E3F" w:rsidRPr="00F02042">
        <w:t>.</w:t>
      </w:r>
      <w:r w:rsidR="00EE6E3F" w:rsidRPr="00F02042">
        <w:tab/>
      </w:r>
      <w:r w:rsidR="00EE6E3F" w:rsidRPr="00F02042">
        <w:rPr>
          <w:b/>
        </w:rPr>
        <w:t xml:space="preserve">The Committee, recalling its general recommendations No. 21 (1994) on equality in marriage and family relations and No. 29 (2013) on the economic consequences of marriage, family relations and their dissolution, </w:t>
      </w:r>
      <w:r w:rsidR="00C00515" w:rsidRPr="00F02042">
        <w:rPr>
          <w:b/>
        </w:rPr>
        <w:t>as well as</w:t>
      </w:r>
      <w:r w:rsidR="00EE6E3F" w:rsidRPr="00F02042">
        <w:rPr>
          <w:b/>
        </w:rPr>
        <w:t xml:space="preserve"> joint general recommendation No. 31 of the Committee on the Elimination of Discrimination against Women/general comment No. 18 of the Committee on the Rights of the Child on harmful practices (2014), recommends that the State party:</w:t>
      </w:r>
    </w:p>
    <w:p w14:paraId="6AC59572" w14:textId="0E424363" w:rsidR="00961D3C" w:rsidRPr="00F02042" w:rsidRDefault="00EE6E3F" w:rsidP="00F02042">
      <w:pPr>
        <w:pStyle w:val="SingleTxtG"/>
        <w:rPr>
          <w:b/>
        </w:rPr>
      </w:pPr>
      <w:r w:rsidRPr="00F02042">
        <w:rPr>
          <w:b/>
        </w:rPr>
        <w:tab/>
      </w:r>
      <w:r w:rsidR="00961D3C" w:rsidRPr="00F02042">
        <w:rPr>
          <w:b/>
        </w:rPr>
        <w:t>(a)</w:t>
      </w:r>
      <w:r w:rsidR="00961D3C" w:rsidRPr="00F02042">
        <w:rPr>
          <w:b/>
        </w:rPr>
        <w:tab/>
      </w:r>
      <w:r w:rsidR="00D61C30">
        <w:rPr>
          <w:b/>
        </w:rPr>
        <w:t>Expedite the adoption of legislation r</w:t>
      </w:r>
      <w:r w:rsidR="00961D3C" w:rsidRPr="00F02042">
        <w:rPr>
          <w:b/>
        </w:rPr>
        <w:t>ais</w:t>
      </w:r>
      <w:r w:rsidR="00D61C30">
        <w:rPr>
          <w:b/>
        </w:rPr>
        <w:t>ing</w:t>
      </w:r>
      <w:r w:rsidR="00961D3C" w:rsidRPr="00F02042">
        <w:rPr>
          <w:b/>
        </w:rPr>
        <w:t xml:space="preserve"> the minimum legal age of marriage to 18 for both girls and boys</w:t>
      </w:r>
      <w:r w:rsidR="00C00515" w:rsidRPr="00F02042">
        <w:rPr>
          <w:b/>
        </w:rPr>
        <w:t xml:space="preserve"> and</w:t>
      </w:r>
      <w:r w:rsidR="00961D3C" w:rsidRPr="00F02042">
        <w:rPr>
          <w:b/>
        </w:rPr>
        <w:t xml:space="preserve"> requir</w:t>
      </w:r>
      <w:r w:rsidR="00D61C30">
        <w:rPr>
          <w:b/>
        </w:rPr>
        <w:t>ing</w:t>
      </w:r>
      <w:r w:rsidR="00961D3C" w:rsidRPr="00F02042">
        <w:rPr>
          <w:b/>
        </w:rPr>
        <w:t xml:space="preserve"> </w:t>
      </w:r>
      <w:r w:rsidR="00C00515" w:rsidRPr="00F02042">
        <w:rPr>
          <w:b/>
        </w:rPr>
        <w:t xml:space="preserve">the </w:t>
      </w:r>
      <w:r w:rsidR="00961D3C" w:rsidRPr="00F02042">
        <w:rPr>
          <w:b/>
        </w:rPr>
        <w:t xml:space="preserve">consent of </w:t>
      </w:r>
      <w:r w:rsidR="00C00515" w:rsidRPr="00F02042">
        <w:rPr>
          <w:b/>
        </w:rPr>
        <w:t>both</w:t>
      </w:r>
      <w:r w:rsidR="00961D3C" w:rsidRPr="00F02042">
        <w:rPr>
          <w:b/>
        </w:rPr>
        <w:t xml:space="preserve"> future spouses</w:t>
      </w:r>
      <w:r w:rsidR="00C00515" w:rsidRPr="00F02042">
        <w:rPr>
          <w:b/>
        </w:rPr>
        <w:t xml:space="preserve"> to any marriage</w:t>
      </w:r>
      <w:r w:rsidR="00961D3C" w:rsidRPr="00F02042">
        <w:rPr>
          <w:b/>
        </w:rPr>
        <w:t>;</w:t>
      </w:r>
      <w:r w:rsidR="00F02042" w:rsidRPr="00F02042">
        <w:rPr>
          <w:b/>
        </w:rPr>
        <w:t xml:space="preserve"> </w:t>
      </w:r>
    </w:p>
    <w:p w14:paraId="390336FE" w14:textId="15204FB8" w:rsidR="00261638" w:rsidRPr="00F02042" w:rsidRDefault="00961D3C" w:rsidP="00F02042">
      <w:pPr>
        <w:pStyle w:val="SingleTxtG"/>
        <w:rPr>
          <w:b/>
        </w:rPr>
      </w:pPr>
      <w:r w:rsidRPr="00F02042">
        <w:rPr>
          <w:b/>
        </w:rPr>
        <w:tab/>
        <w:t>(b</w:t>
      </w:r>
      <w:r w:rsidR="00261638" w:rsidRPr="00F02042">
        <w:rPr>
          <w:b/>
        </w:rPr>
        <w:t>)</w:t>
      </w:r>
      <w:r w:rsidR="00261638" w:rsidRPr="00F02042">
        <w:rPr>
          <w:b/>
        </w:rPr>
        <w:tab/>
      </w:r>
      <w:r w:rsidR="00C00515" w:rsidRPr="00F02042">
        <w:rPr>
          <w:b/>
        </w:rPr>
        <w:t>R</w:t>
      </w:r>
      <w:r w:rsidR="003B093E" w:rsidRPr="00F02042">
        <w:rPr>
          <w:b/>
        </w:rPr>
        <w:t xml:space="preserve">epeal all discriminatory provisions in the Civil Code and </w:t>
      </w:r>
      <w:r w:rsidR="00261638" w:rsidRPr="00F02042">
        <w:rPr>
          <w:b/>
        </w:rPr>
        <w:t>adopt</w:t>
      </w:r>
      <w:r w:rsidR="003B093E" w:rsidRPr="00F02042">
        <w:rPr>
          <w:b/>
        </w:rPr>
        <w:t xml:space="preserve"> a </w:t>
      </w:r>
      <w:r w:rsidR="008841D8" w:rsidRPr="00F02042">
        <w:rPr>
          <w:b/>
        </w:rPr>
        <w:t xml:space="preserve">non-discriminatory </w:t>
      </w:r>
      <w:r w:rsidR="003B093E" w:rsidRPr="00F02042">
        <w:rPr>
          <w:b/>
        </w:rPr>
        <w:t>personal status code;</w:t>
      </w:r>
      <w:r w:rsidRPr="00F02042">
        <w:rPr>
          <w:b/>
        </w:rPr>
        <w:t xml:space="preserve"> and,</w:t>
      </w:r>
    </w:p>
    <w:p w14:paraId="4B617C6C" w14:textId="293BBF61" w:rsidR="00EE6E3F" w:rsidRPr="00F02042" w:rsidRDefault="00600AA5" w:rsidP="00F02042">
      <w:pPr>
        <w:pStyle w:val="SingleTxtG"/>
        <w:rPr>
          <w:b/>
        </w:rPr>
      </w:pPr>
      <w:r w:rsidRPr="00F02042">
        <w:rPr>
          <w:b/>
        </w:rPr>
        <w:tab/>
      </w:r>
      <w:r w:rsidR="008841D8" w:rsidRPr="00F02042">
        <w:rPr>
          <w:b/>
        </w:rPr>
        <w:t>(</w:t>
      </w:r>
      <w:r w:rsidR="00961D3C" w:rsidRPr="00F02042">
        <w:rPr>
          <w:b/>
        </w:rPr>
        <w:t>c</w:t>
      </w:r>
      <w:r w:rsidR="00EE6E3F" w:rsidRPr="00F02042">
        <w:rPr>
          <w:b/>
        </w:rPr>
        <w:t>)</w:t>
      </w:r>
      <w:r w:rsidR="00EE6E3F" w:rsidRPr="00F02042">
        <w:rPr>
          <w:b/>
        </w:rPr>
        <w:tab/>
      </w:r>
      <w:r w:rsidR="00C00515" w:rsidRPr="00F02042">
        <w:rPr>
          <w:b/>
        </w:rPr>
        <w:t>Prohibit, including under</w:t>
      </w:r>
      <w:r w:rsidR="00D62520" w:rsidRPr="00F02042">
        <w:rPr>
          <w:b/>
        </w:rPr>
        <w:t xml:space="preserve"> customary law</w:t>
      </w:r>
      <w:r w:rsidR="00C00515" w:rsidRPr="00F02042">
        <w:rPr>
          <w:b/>
        </w:rPr>
        <w:t>,</w:t>
      </w:r>
      <w:r w:rsidR="00D62520" w:rsidRPr="00F02042">
        <w:rPr>
          <w:b/>
        </w:rPr>
        <w:t xml:space="preserve"> </w:t>
      </w:r>
      <w:r w:rsidR="00EE6E3F" w:rsidRPr="00F02042">
        <w:rPr>
          <w:b/>
        </w:rPr>
        <w:t>the harmful practices of child</w:t>
      </w:r>
      <w:r w:rsidR="00025A64" w:rsidRPr="00F02042">
        <w:rPr>
          <w:b/>
        </w:rPr>
        <w:t xml:space="preserve"> and</w:t>
      </w:r>
      <w:r w:rsidR="00EE6E3F" w:rsidRPr="00F02042">
        <w:rPr>
          <w:b/>
        </w:rPr>
        <w:t xml:space="preserve"> forced mar</w:t>
      </w:r>
      <w:r w:rsidR="003B093E" w:rsidRPr="00F02042">
        <w:rPr>
          <w:b/>
        </w:rPr>
        <w:t>riage, polygamy and repudiation</w:t>
      </w:r>
      <w:r w:rsidR="008841D8" w:rsidRPr="00F02042">
        <w:rPr>
          <w:b/>
        </w:rPr>
        <w:t xml:space="preserve"> </w:t>
      </w:r>
      <w:r w:rsidR="00C00515" w:rsidRPr="00F02042">
        <w:rPr>
          <w:b/>
        </w:rPr>
        <w:t>and</w:t>
      </w:r>
      <w:r w:rsidR="008841D8" w:rsidRPr="00F02042">
        <w:rPr>
          <w:b/>
        </w:rPr>
        <w:t xml:space="preserve"> c</w:t>
      </w:r>
      <w:r w:rsidR="00D62520" w:rsidRPr="00F02042">
        <w:rPr>
          <w:b/>
        </w:rPr>
        <w:t>onduct awareness raising campaigns targeting parliamentarians, traditional</w:t>
      </w:r>
      <w:r w:rsidR="00A96B53" w:rsidRPr="00F02042">
        <w:rPr>
          <w:b/>
        </w:rPr>
        <w:t xml:space="preserve"> and religious</w:t>
      </w:r>
      <w:r w:rsidR="00D62520" w:rsidRPr="00F02042">
        <w:rPr>
          <w:b/>
        </w:rPr>
        <w:t xml:space="preserve"> leaders and the general public on the harmful effects of these practices</w:t>
      </w:r>
      <w:r w:rsidR="009C1B42" w:rsidRPr="00F02042">
        <w:rPr>
          <w:b/>
        </w:rPr>
        <w:t xml:space="preserve"> on women and girls.</w:t>
      </w:r>
      <w:r w:rsidR="00EE6E3F" w:rsidRPr="00F02042">
        <w:rPr>
          <w:b/>
          <w:highlight w:val="yellow"/>
        </w:rPr>
        <w:t xml:space="preserve"> </w:t>
      </w:r>
    </w:p>
    <w:p w14:paraId="75EF2661" w14:textId="77777777" w:rsidR="00EE6E3F" w:rsidRPr="00A711CB" w:rsidRDefault="00EE6E3F" w:rsidP="00EE6E3F">
      <w:pPr>
        <w:pStyle w:val="H23G"/>
        <w:rPr>
          <w:lang w:val="en-US"/>
        </w:rPr>
      </w:pPr>
      <w:r>
        <w:rPr>
          <w:lang w:val="en-US"/>
        </w:rPr>
        <w:tab/>
      </w:r>
      <w:r>
        <w:rPr>
          <w:lang w:val="en-US"/>
        </w:rPr>
        <w:tab/>
      </w:r>
      <w:r w:rsidRPr="00A711CB">
        <w:rPr>
          <w:lang w:val="en-US"/>
        </w:rPr>
        <w:t xml:space="preserve">Data collection and analysis </w:t>
      </w:r>
    </w:p>
    <w:p w14:paraId="72A04DB2" w14:textId="77777777" w:rsidR="00EE6E3F" w:rsidRPr="00A711CB" w:rsidRDefault="00F568F0" w:rsidP="00EE6E3F">
      <w:pPr>
        <w:pStyle w:val="SingleTxtG"/>
        <w:rPr>
          <w:b/>
        </w:rPr>
      </w:pPr>
      <w:r>
        <w:rPr>
          <w:rFonts w:eastAsia="SimSun"/>
        </w:rPr>
        <w:t>4</w:t>
      </w:r>
      <w:r w:rsidR="008B3602">
        <w:rPr>
          <w:rFonts w:eastAsia="SimSun"/>
        </w:rPr>
        <w:t>4</w:t>
      </w:r>
      <w:r w:rsidR="00EE6E3F" w:rsidRPr="00A711CB">
        <w:rPr>
          <w:rFonts w:eastAsia="SimSun"/>
        </w:rPr>
        <w:t>.</w:t>
      </w:r>
      <w:r w:rsidR="00EE6E3F" w:rsidRPr="00A711CB">
        <w:rPr>
          <w:rFonts w:eastAsia="SimSun"/>
        </w:rPr>
        <w:tab/>
      </w:r>
      <w:r w:rsidR="00EE6E3F" w:rsidRPr="00A711CB">
        <w:rPr>
          <w:b/>
        </w:rPr>
        <w:t>The Committee recommends that the State party enhance the collection, analysis and dissemination of comprehensive data, disaggregated by sex, age, disability, ethnicity, location and socioeconomic status, and the use of measurable indicators to assess trends in the situation of women and progress towards the realization by women of substantive equality in all areas covered by the Convention.</w:t>
      </w:r>
    </w:p>
    <w:p w14:paraId="0AD1AC9D" w14:textId="77777777" w:rsidR="00EE6E3F" w:rsidRPr="00373F49" w:rsidRDefault="00EE6E3F" w:rsidP="00EE6E3F">
      <w:pPr>
        <w:pStyle w:val="H23G"/>
        <w:jc w:val="both"/>
      </w:pPr>
      <w:r w:rsidRPr="005D30A1">
        <w:rPr>
          <w:i/>
        </w:rPr>
        <w:tab/>
      </w:r>
      <w:r w:rsidRPr="005D30A1">
        <w:rPr>
          <w:i/>
        </w:rPr>
        <w:tab/>
      </w:r>
      <w:r w:rsidRPr="00373F49">
        <w:t xml:space="preserve">Beijing Declaration and Platform for Action </w:t>
      </w:r>
    </w:p>
    <w:p w14:paraId="28D7BBC2" w14:textId="77777777" w:rsidR="00EE6E3F" w:rsidRPr="00373F49" w:rsidRDefault="00F568F0" w:rsidP="00EE6E3F">
      <w:pPr>
        <w:pStyle w:val="SingleTxtG"/>
        <w:rPr>
          <w:b/>
          <w:bCs/>
        </w:rPr>
      </w:pPr>
      <w:r>
        <w:t>4</w:t>
      </w:r>
      <w:r w:rsidR="008B3602">
        <w:t>5</w:t>
      </w:r>
      <w:r w:rsidR="00EE6E3F" w:rsidRPr="00373F49">
        <w:t>.</w:t>
      </w:r>
      <w:r w:rsidR="00EE6E3F" w:rsidRPr="00373F49">
        <w:tab/>
      </w:r>
      <w:r w:rsidR="00EE6E3F" w:rsidRPr="00373F49">
        <w:rPr>
          <w:b/>
        </w:rPr>
        <w:t>The Committee calls upon the State party to utilize the Beijing Declaration and Platform for Action, in its efforts to implement the provisions of the Convention.</w:t>
      </w:r>
    </w:p>
    <w:p w14:paraId="774AC835" w14:textId="77777777" w:rsidR="00EE6E3F" w:rsidRPr="00373F49" w:rsidRDefault="00EE6E3F" w:rsidP="00EE6E3F">
      <w:pPr>
        <w:pStyle w:val="H23G"/>
        <w:jc w:val="both"/>
        <w:rPr>
          <w:b w:val="0"/>
        </w:rPr>
      </w:pPr>
      <w:r w:rsidRPr="00373F49">
        <w:tab/>
      </w:r>
      <w:r w:rsidRPr="00373F49">
        <w:tab/>
        <w:t xml:space="preserve">2030 Agenda for Sustainable Development </w:t>
      </w:r>
    </w:p>
    <w:p w14:paraId="0AEF8514" w14:textId="77777777" w:rsidR="00EE6E3F" w:rsidRPr="00373F49" w:rsidRDefault="00F568F0" w:rsidP="00EE6E3F">
      <w:pPr>
        <w:pStyle w:val="SingleTxtG"/>
      </w:pPr>
      <w:r>
        <w:t>4</w:t>
      </w:r>
      <w:r w:rsidR="008B3602">
        <w:t>6</w:t>
      </w:r>
      <w:r w:rsidR="00EE6E3F" w:rsidRPr="00373F49">
        <w:t>.</w:t>
      </w:r>
      <w:r w:rsidR="00EE6E3F" w:rsidRPr="00373F49">
        <w:tab/>
      </w:r>
      <w:r w:rsidR="00EE6E3F" w:rsidRPr="00373F49">
        <w:rPr>
          <w:b/>
        </w:rPr>
        <w:t>The Committee calls for the realization of substantive gender equality, in accordance with the provisions of the Convention, throughout the process of implementation of the 2030 Agenda for Sustainable Development</w:t>
      </w:r>
      <w:r w:rsidR="00EE6E3F" w:rsidRPr="00373F49">
        <w:rPr>
          <w:b/>
          <w:bCs/>
        </w:rPr>
        <w:t>.</w:t>
      </w:r>
    </w:p>
    <w:p w14:paraId="21D1126E" w14:textId="77777777" w:rsidR="00EE6E3F" w:rsidRPr="00373F49" w:rsidRDefault="00EE6E3F" w:rsidP="00EE6E3F">
      <w:pPr>
        <w:pStyle w:val="H23G"/>
      </w:pPr>
      <w:r w:rsidRPr="00373F49">
        <w:tab/>
      </w:r>
      <w:r w:rsidRPr="00373F49">
        <w:tab/>
        <w:t>Dissemination</w:t>
      </w:r>
    </w:p>
    <w:p w14:paraId="6CBCC858" w14:textId="77777777" w:rsidR="00EE6E3F" w:rsidRPr="00373F49" w:rsidRDefault="00F568F0" w:rsidP="00EE6E3F">
      <w:pPr>
        <w:pStyle w:val="SingleTxtG"/>
        <w:rPr>
          <w:b/>
        </w:rPr>
      </w:pPr>
      <w:r>
        <w:t>4</w:t>
      </w:r>
      <w:r w:rsidR="008B3602">
        <w:t>7</w:t>
      </w:r>
      <w:r w:rsidR="00EE6E3F" w:rsidRPr="00373F49">
        <w:t>.</w:t>
      </w:r>
      <w:r w:rsidR="00EE6E3F" w:rsidRPr="00373F49">
        <w:tab/>
      </w:r>
      <w:r w:rsidR="00EE6E3F" w:rsidRPr="00373F49">
        <w:rPr>
          <w:b/>
          <w:bCs/>
          <w:color w:val="000000"/>
        </w:rPr>
        <w:t xml:space="preserve">The Committee requests the State party to ensure the timely dissemination of the present concluding observations, in the </w:t>
      </w:r>
      <w:r w:rsidR="00EE6E3F" w:rsidRPr="00373F49">
        <w:rPr>
          <w:b/>
        </w:rPr>
        <w:t>official</w:t>
      </w:r>
      <w:r w:rsidR="00EE6E3F" w:rsidRPr="00373F49">
        <w:rPr>
          <w:b/>
          <w:bCs/>
          <w:color w:val="000000"/>
        </w:rPr>
        <w:t xml:space="preserve"> language(s) of the State party, to the relevant state </w:t>
      </w:r>
      <w:r w:rsidR="00EE6E3F" w:rsidRPr="00373F49">
        <w:rPr>
          <w:b/>
        </w:rPr>
        <w:t>institutions at all levels (national, regional, local), in particular to the Government, the</w:t>
      </w:r>
      <w:r w:rsidR="00EE6E3F" w:rsidRPr="00373F49">
        <w:rPr>
          <w:b/>
          <w:bCs/>
          <w:color w:val="000000"/>
        </w:rPr>
        <w:t xml:space="preserve"> ministries, the Parliament and to the judiciary, to enable their full implementation.</w:t>
      </w:r>
    </w:p>
    <w:p w14:paraId="215ED5A0" w14:textId="77777777" w:rsidR="00EE6E3F" w:rsidRPr="00373F49" w:rsidRDefault="00EE6E3F" w:rsidP="00EE6E3F">
      <w:pPr>
        <w:pStyle w:val="H23G"/>
        <w:rPr>
          <w:lang w:val="en-US"/>
        </w:rPr>
      </w:pPr>
      <w:r w:rsidRPr="00373F49">
        <w:rPr>
          <w:lang w:val="en-US"/>
        </w:rPr>
        <w:tab/>
      </w:r>
      <w:r w:rsidRPr="00373F49">
        <w:rPr>
          <w:lang w:val="en-US"/>
        </w:rPr>
        <w:tab/>
        <w:t xml:space="preserve">Technical Assistance </w:t>
      </w:r>
    </w:p>
    <w:p w14:paraId="4E362621" w14:textId="77777777" w:rsidR="00EE6E3F" w:rsidRPr="00373F49" w:rsidRDefault="008B3602" w:rsidP="00EE6E3F">
      <w:pPr>
        <w:pStyle w:val="SingleTxtG"/>
        <w:rPr>
          <w:b/>
          <w:lang w:val="en-US" w:eastAsia="zh-CN"/>
        </w:rPr>
      </w:pPr>
      <w:r>
        <w:t>48</w:t>
      </w:r>
      <w:r w:rsidR="00EE6E3F" w:rsidRPr="00373F49">
        <w:t>.</w:t>
      </w:r>
      <w:r w:rsidR="00EE6E3F" w:rsidRPr="00373F49">
        <w:tab/>
      </w:r>
      <w:r w:rsidR="00EE6E3F" w:rsidRPr="00373F49">
        <w:rPr>
          <w:b/>
          <w:lang w:val="en-US" w:eastAsia="zh-CN"/>
        </w:rPr>
        <w:t>The Committee recommends that the State party link the implementation of the Convention to its development efforts and that it avail itself of regional or international technical assistance in this respect.</w:t>
      </w:r>
    </w:p>
    <w:p w14:paraId="0E619303" w14:textId="77777777" w:rsidR="00EE6E3F" w:rsidRPr="009F7018" w:rsidRDefault="00EE6E3F" w:rsidP="00EE6E3F">
      <w:pPr>
        <w:pStyle w:val="H23G"/>
        <w:rPr>
          <w:b w:val="0"/>
        </w:rPr>
      </w:pPr>
      <w:r w:rsidRPr="005D30A1">
        <w:rPr>
          <w:i/>
          <w:lang w:val="en-US"/>
        </w:rPr>
        <w:tab/>
      </w:r>
      <w:r w:rsidRPr="009F7018">
        <w:rPr>
          <w:lang w:val="en-US"/>
        </w:rPr>
        <w:tab/>
        <w:t>Ratification</w:t>
      </w:r>
      <w:r w:rsidRPr="009F7018">
        <w:t xml:space="preserve"> of other treaties</w:t>
      </w:r>
    </w:p>
    <w:p w14:paraId="50519775" w14:textId="77777777" w:rsidR="00EE6E3F" w:rsidRDefault="008B3602" w:rsidP="00EE6E3F">
      <w:pPr>
        <w:pStyle w:val="SingleTxtG"/>
        <w:rPr>
          <w:b/>
          <w:i/>
        </w:rPr>
      </w:pPr>
      <w:r w:rsidRPr="008B3602">
        <w:t>49</w:t>
      </w:r>
      <w:r w:rsidR="00EE6E3F" w:rsidRPr="008B3602">
        <w:t>.</w:t>
      </w:r>
      <w:r w:rsidR="00EE6E3F" w:rsidRPr="008B3602">
        <w:tab/>
      </w:r>
      <w:r w:rsidR="00EE6E3F" w:rsidRPr="008B3602">
        <w:rPr>
          <w:b/>
        </w:rPr>
        <w:t xml:space="preserve">The Committee also encourages the Government of Niger to ratify the second Optional Protocol to the International Covenant on Civil and Political Rights aiming </w:t>
      </w:r>
      <w:r w:rsidR="008F4B57" w:rsidRPr="008B3602">
        <w:rPr>
          <w:b/>
        </w:rPr>
        <w:t>a</w:t>
      </w:r>
      <w:r w:rsidR="00EE6E3F" w:rsidRPr="008B3602">
        <w:rPr>
          <w:b/>
        </w:rPr>
        <w:t>t the abolition of the death penalty.</w:t>
      </w:r>
    </w:p>
    <w:p w14:paraId="652C3446" w14:textId="77777777" w:rsidR="00EE6E3F" w:rsidRPr="00373F49" w:rsidRDefault="00EE6E3F" w:rsidP="00EE6E3F">
      <w:pPr>
        <w:pStyle w:val="H23G"/>
        <w:rPr>
          <w:lang w:val="en-US"/>
        </w:rPr>
      </w:pPr>
      <w:r w:rsidRPr="005D30A1">
        <w:rPr>
          <w:i/>
          <w:lang w:val="en-US"/>
        </w:rPr>
        <w:tab/>
      </w:r>
      <w:r w:rsidRPr="005D30A1">
        <w:rPr>
          <w:i/>
          <w:lang w:val="en-US"/>
        </w:rPr>
        <w:tab/>
      </w:r>
      <w:r w:rsidRPr="00373F49">
        <w:rPr>
          <w:lang w:val="en-US"/>
        </w:rPr>
        <w:t>Follow-up to concluding observations</w:t>
      </w:r>
    </w:p>
    <w:p w14:paraId="6BDE5A49" w14:textId="144B346E" w:rsidR="00EE6E3F" w:rsidRPr="00373F49" w:rsidRDefault="00F568F0" w:rsidP="00EE6E3F">
      <w:pPr>
        <w:pStyle w:val="SingleTxtG"/>
        <w:rPr>
          <w:b/>
        </w:rPr>
      </w:pPr>
      <w:r>
        <w:t>5</w:t>
      </w:r>
      <w:r w:rsidR="008B3602">
        <w:t>0</w:t>
      </w:r>
      <w:r w:rsidR="00EE6E3F" w:rsidRPr="00373F49">
        <w:t>.</w:t>
      </w:r>
      <w:r w:rsidR="00EE6E3F" w:rsidRPr="00373F49">
        <w:tab/>
      </w:r>
      <w:r w:rsidR="00EE6E3F" w:rsidRPr="00373F49">
        <w:rPr>
          <w:b/>
        </w:rPr>
        <w:t xml:space="preserve">The Committee requests the State party to provide, within two years, written information on the steps undertaken to implement the recommendations contained in paragraphs </w:t>
      </w:r>
      <w:r w:rsidR="00B83D5B">
        <w:rPr>
          <w:b/>
        </w:rPr>
        <w:t>21(a</w:t>
      </w:r>
      <w:r w:rsidR="00B83D5B" w:rsidRPr="00B83D5B">
        <w:rPr>
          <w:b/>
        </w:rPr>
        <w:t>)</w:t>
      </w:r>
      <w:r w:rsidR="00EE6E3F" w:rsidRPr="00C46C06">
        <w:rPr>
          <w:b/>
        </w:rPr>
        <w:t xml:space="preserve">, </w:t>
      </w:r>
      <w:r w:rsidR="00B83D5B" w:rsidRPr="00C46C06">
        <w:rPr>
          <w:b/>
        </w:rPr>
        <w:t xml:space="preserve">23(a) </w:t>
      </w:r>
      <w:r w:rsidR="00EE6E3F" w:rsidRPr="00C46C06">
        <w:rPr>
          <w:b/>
        </w:rPr>
        <w:t xml:space="preserve">and </w:t>
      </w:r>
      <w:r w:rsidR="00B83D5B" w:rsidRPr="00C46C06">
        <w:rPr>
          <w:b/>
        </w:rPr>
        <w:t xml:space="preserve">23(d) </w:t>
      </w:r>
      <w:r w:rsidR="00EE6E3F" w:rsidRPr="00C46C06">
        <w:rPr>
          <w:b/>
        </w:rPr>
        <w:t xml:space="preserve">and </w:t>
      </w:r>
      <w:r w:rsidR="00B83D5B">
        <w:rPr>
          <w:b/>
        </w:rPr>
        <w:t>29(b)</w:t>
      </w:r>
      <w:r w:rsidR="00EE6E3F" w:rsidRPr="00373F49">
        <w:rPr>
          <w:b/>
        </w:rPr>
        <w:t xml:space="preserve"> above. </w:t>
      </w:r>
    </w:p>
    <w:p w14:paraId="4C3AA232" w14:textId="77777777" w:rsidR="00EE6E3F" w:rsidRPr="000D785D" w:rsidRDefault="00EE6E3F" w:rsidP="00EE6E3F">
      <w:pPr>
        <w:pStyle w:val="H23G"/>
        <w:rPr>
          <w:lang w:val="en-US"/>
        </w:rPr>
      </w:pPr>
      <w:r w:rsidRPr="000D785D">
        <w:rPr>
          <w:lang w:val="en-US"/>
        </w:rPr>
        <w:tab/>
      </w:r>
      <w:r w:rsidRPr="000D785D">
        <w:rPr>
          <w:lang w:val="en-US"/>
        </w:rPr>
        <w:tab/>
        <w:t xml:space="preserve">Preparation of the next report </w:t>
      </w:r>
    </w:p>
    <w:p w14:paraId="006D45CA" w14:textId="1282B01C" w:rsidR="00EE6E3F" w:rsidRPr="000D785D" w:rsidRDefault="00F568F0" w:rsidP="00EE6E3F">
      <w:pPr>
        <w:pStyle w:val="SingleTxtG"/>
      </w:pPr>
      <w:r>
        <w:t>5</w:t>
      </w:r>
      <w:r w:rsidR="008B3602">
        <w:t>1</w:t>
      </w:r>
      <w:r w:rsidR="00EE6E3F" w:rsidRPr="000D785D">
        <w:t>.</w:t>
      </w:r>
      <w:r w:rsidR="00EE6E3F" w:rsidRPr="000D785D">
        <w:tab/>
      </w:r>
      <w:r w:rsidR="00EE6E3F" w:rsidRPr="000D785D">
        <w:rPr>
          <w:b/>
        </w:rPr>
        <w:t xml:space="preserve">The Committee </w:t>
      </w:r>
      <w:r w:rsidR="0093115D">
        <w:rPr>
          <w:b/>
        </w:rPr>
        <w:t>requests</w:t>
      </w:r>
      <w:r w:rsidR="0093115D" w:rsidRPr="000D785D">
        <w:rPr>
          <w:b/>
        </w:rPr>
        <w:t xml:space="preserve"> </w:t>
      </w:r>
      <w:r w:rsidR="00EE6E3F" w:rsidRPr="000D785D">
        <w:rPr>
          <w:b/>
        </w:rPr>
        <w:t xml:space="preserve">the State party to submit its </w:t>
      </w:r>
      <w:r w:rsidR="00EE6E3F" w:rsidRPr="00025A64">
        <w:rPr>
          <w:b/>
        </w:rPr>
        <w:t>fifth</w:t>
      </w:r>
      <w:r w:rsidR="00EE6E3F" w:rsidRPr="000D785D">
        <w:t xml:space="preserve"> </w:t>
      </w:r>
      <w:r w:rsidR="00EE6E3F" w:rsidRPr="000D785D">
        <w:rPr>
          <w:b/>
        </w:rPr>
        <w:t xml:space="preserve">periodic report </w:t>
      </w:r>
      <w:r w:rsidR="00C00515">
        <w:rPr>
          <w:b/>
        </w:rPr>
        <w:t xml:space="preserve">which is due </w:t>
      </w:r>
      <w:r w:rsidR="00EE6E3F" w:rsidRPr="000D785D">
        <w:rPr>
          <w:b/>
        </w:rPr>
        <w:t xml:space="preserve">in </w:t>
      </w:r>
      <w:r w:rsidR="00EE6E3F" w:rsidRPr="008F4B57">
        <w:rPr>
          <w:b/>
        </w:rPr>
        <w:t>July 2021.</w:t>
      </w:r>
      <w:r w:rsidR="00C00515">
        <w:rPr>
          <w:b/>
        </w:rPr>
        <w:t xml:space="preserve"> The report should be submitted on time and should cover the entire period u</w:t>
      </w:r>
      <w:r w:rsidR="0093115D">
        <w:rPr>
          <w:b/>
        </w:rPr>
        <w:t xml:space="preserve">p to the time of </w:t>
      </w:r>
      <w:r w:rsidR="00C00515">
        <w:rPr>
          <w:b/>
        </w:rPr>
        <w:t>its submission.</w:t>
      </w:r>
    </w:p>
    <w:p w14:paraId="7B1AFFE4" w14:textId="77777777" w:rsidR="00302A30" w:rsidRDefault="00F568F0" w:rsidP="00EE6E3F">
      <w:pPr>
        <w:pStyle w:val="SingleTxtG"/>
        <w:rPr>
          <w:b/>
        </w:rPr>
      </w:pPr>
      <w:r>
        <w:t>5</w:t>
      </w:r>
      <w:r w:rsidR="008B3602">
        <w:t>2</w:t>
      </w:r>
      <w:r w:rsidR="00EE6E3F" w:rsidRPr="000D785D">
        <w:t>.</w:t>
      </w:r>
      <w:r w:rsidR="00EE6E3F" w:rsidRPr="000D785D">
        <w:tab/>
      </w:r>
      <w:r w:rsidR="00EE6E3F" w:rsidRPr="000D785D">
        <w:rPr>
          <w:b/>
        </w:rPr>
        <w:t>The Committee requests the State party to follow the “Harmonized guidelines on reporting under the international human rights treaties, including guidelines on a common core doc</w:t>
      </w:r>
      <w:r w:rsidR="0033573C">
        <w:rPr>
          <w:b/>
        </w:rPr>
        <w:t>ument and treaty-specific documents (see HRI/GEN/2/Rev.6, chap. I).</w:t>
      </w:r>
    </w:p>
    <w:p w14:paraId="55D7BFCB" w14:textId="77777777" w:rsidR="008F4B57" w:rsidRDefault="008F4B57" w:rsidP="008F4B57">
      <w:pPr>
        <w:pStyle w:val="SingleTxtG"/>
        <w:jc w:val="center"/>
      </w:pPr>
      <w:r>
        <w:t>_________________</w:t>
      </w:r>
    </w:p>
    <w:sectPr w:rsidR="008F4B57" w:rsidSect="00302A3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BC59E" w14:textId="77777777" w:rsidR="003C3C13" w:rsidRDefault="003C3C13"/>
  </w:endnote>
  <w:endnote w:type="continuationSeparator" w:id="0">
    <w:p w14:paraId="5B429A1E" w14:textId="77777777" w:rsidR="003C3C13" w:rsidRDefault="003C3C13"/>
  </w:endnote>
  <w:endnote w:type="continuationNotice" w:id="1">
    <w:p w14:paraId="3DA27966" w14:textId="77777777" w:rsidR="003C3C13" w:rsidRDefault="003C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2E39" w14:textId="76F6BA45" w:rsidR="003C3C13" w:rsidRPr="00302A30" w:rsidRDefault="003C3C13" w:rsidP="00302A30">
    <w:pPr>
      <w:pStyle w:val="Footer"/>
      <w:tabs>
        <w:tab w:val="right" w:pos="9638"/>
      </w:tabs>
      <w:rPr>
        <w:sz w:val="18"/>
      </w:rPr>
    </w:pPr>
    <w:r w:rsidRPr="00302A30">
      <w:rPr>
        <w:b/>
        <w:sz w:val="18"/>
      </w:rPr>
      <w:fldChar w:fldCharType="begin"/>
    </w:r>
    <w:r w:rsidRPr="00302A30">
      <w:rPr>
        <w:b/>
        <w:sz w:val="18"/>
      </w:rPr>
      <w:instrText xml:space="preserve"> PAGE  \* MERGEFORMAT </w:instrText>
    </w:r>
    <w:r w:rsidRPr="00302A30">
      <w:rPr>
        <w:b/>
        <w:sz w:val="18"/>
      </w:rPr>
      <w:fldChar w:fldCharType="separate"/>
    </w:r>
    <w:r w:rsidR="005B2287">
      <w:rPr>
        <w:b/>
        <w:noProof/>
        <w:sz w:val="18"/>
      </w:rPr>
      <w:t>14</w:t>
    </w:r>
    <w:r w:rsidRPr="00302A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0EA81" w14:textId="21B0B912" w:rsidR="003C3C13" w:rsidRPr="00302A30" w:rsidRDefault="003C3C13" w:rsidP="00302A30">
    <w:pPr>
      <w:pStyle w:val="Footer"/>
      <w:tabs>
        <w:tab w:val="right" w:pos="9638"/>
      </w:tabs>
      <w:rPr>
        <w:b/>
        <w:sz w:val="18"/>
      </w:rPr>
    </w:pPr>
    <w:r>
      <w:tab/>
    </w:r>
    <w:r w:rsidRPr="00302A30">
      <w:rPr>
        <w:b/>
        <w:sz w:val="18"/>
      </w:rPr>
      <w:fldChar w:fldCharType="begin"/>
    </w:r>
    <w:r w:rsidRPr="00302A30">
      <w:rPr>
        <w:b/>
        <w:sz w:val="18"/>
      </w:rPr>
      <w:instrText xml:space="preserve"> PAGE  \* MERGEFORMAT </w:instrText>
    </w:r>
    <w:r w:rsidRPr="00302A30">
      <w:rPr>
        <w:b/>
        <w:sz w:val="18"/>
      </w:rPr>
      <w:fldChar w:fldCharType="separate"/>
    </w:r>
    <w:r w:rsidR="005B2287">
      <w:rPr>
        <w:b/>
        <w:noProof/>
        <w:sz w:val="18"/>
      </w:rPr>
      <w:t>13</w:t>
    </w:r>
    <w:r w:rsidRPr="00302A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13B1" w14:textId="14E93AAB" w:rsidR="003C3C13" w:rsidRPr="00302A30" w:rsidRDefault="003C3C13" w:rsidP="009B4A1B">
    <w:pPr>
      <w:pStyle w:val="Footer"/>
      <w:rPr>
        <w:sz w:val="20"/>
      </w:rPr>
    </w:pPr>
    <w:r>
      <w:rPr>
        <w:noProof/>
        <w:lang w:val="en-US"/>
      </w:rPr>
      <w:drawing>
        <wp:anchor distT="0" distB="0" distL="114300" distR="114300" simplePos="0" relativeHeight="251657728" behindDoc="0" locked="1" layoutInCell="1" allowOverlap="1" wp14:anchorId="6AE571AE" wp14:editId="7F47214F">
          <wp:simplePos x="0" y="0"/>
          <wp:positionH relativeFrom="margin">
            <wp:posOffset>5003800</wp:posOffset>
          </wp:positionH>
          <wp:positionV relativeFrom="margin">
            <wp:posOffset>9323705</wp:posOffset>
          </wp:positionV>
          <wp:extent cx="933450" cy="228600"/>
          <wp:effectExtent l="0" t="0" r="0" b="0"/>
          <wp:wrapNone/>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991A5" w14:textId="77777777" w:rsidR="003C3C13" w:rsidRPr="000B175B" w:rsidRDefault="003C3C13" w:rsidP="000B175B">
      <w:pPr>
        <w:tabs>
          <w:tab w:val="right" w:pos="2155"/>
        </w:tabs>
        <w:spacing w:after="80"/>
        <w:ind w:left="680"/>
        <w:rPr>
          <w:u w:val="single"/>
        </w:rPr>
      </w:pPr>
      <w:r>
        <w:rPr>
          <w:u w:val="single"/>
        </w:rPr>
        <w:tab/>
      </w:r>
    </w:p>
  </w:footnote>
  <w:footnote w:type="continuationSeparator" w:id="0">
    <w:p w14:paraId="41ECB340" w14:textId="77777777" w:rsidR="003C3C13" w:rsidRPr="00FC68B7" w:rsidRDefault="003C3C13" w:rsidP="00FC68B7">
      <w:pPr>
        <w:tabs>
          <w:tab w:val="left" w:pos="2155"/>
        </w:tabs>
        <w:spacing w:after="80"/>
        <w:ind w:left="680"/>
        <w:rPr>
          <w:u w:val="single"/>
        </w:rPr>
      </w:pPr>
      <w:r>
        <w:rPr>
          <w:u w:val="single"/>
        </w:rPr>
        <w:tab/>
      </w:r>
    </w:p>
  </w:footnote>
  <w:footnote w:type="continuationNotice" w:id="1">
    <w:p w14:paraId="594A2184" w14:textId="77777777" w:rsidR="003C3C13" w:rsidRDefault="003C3C13"/>
  </w:footnote>
  <w:footnote w:id="2">
    <w:p w14:paraId="091A3073" w14:textId="35DDFEFD" w:rsidR="00C46C06" w:rsidRPr="00C46C06" w:rsidRDefault="00C46C06">
      <w:pPr>
        <w:pStyle w:val="FootnoteText"/>
        <w:rPr>
          <w:lang w:val="en-US"/>
        </w:rPr>
      </w:pPr>
      <w:r>
        <w:rPr>
          <w:rStyle w:val="FootnoteReference"/>
        </w:rPr>
        <w:tab/>
      </w:r>
      <w:r w:rsidRPr="00C46C06">
        <w:rPr>
          <w:rStyle w:val="FootnoteReference"/>
          <w:sz w:val="20"/>
          <w:vertAlign w:val="baseline"/>
        </w:rPr>
        <w:t>*</w:t>
      </w:r>
      <w:r>
        <w:rPr>
          <w:rStyle w:val="FootnoteReference"/>
          <w:sz w:val="20"/>
          <w:vertAlign w:val="baseline"/>
        </w:rPr>
        <w:tab/>
      </w:r>
      <w:r w:rsidRPr="00C46C06">
        <w:rPr>
          <w:sz w:val="20"/>
          <w:lang w:val="en-US"/>
        </w:rPr>
        <w:t>Adopted by the Committee at its sixty-seventh session (3-21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AD92" w14:textId="5B175B2E" w:rsidR="003C3C13" w:rsidRPr="00C46C06" w:rsidRDefault="00C46C06" w:rsidP="00C46C06">
    <w:pPr>
      <w:pStyle w:val="Header"/>
    </w:pPr>
    <w:r w:rsidRPr="00C46C06">
      <w:t>CEDAW/C/NER/CO/3-4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149F" w14:textId="0961A5FC" w:rsidR="003C3C13" w:rsidRPr="00C46C06" w:rsidRDefault="00C46C06" w:rsidP="00C46C06">
    <w:pPr>
      <w:pStyle w:val="Header"/>
      <w:ind w:right="90"/>
      <w:jc w:val="right"/>
      <w:rPr>
        <w:lang w:val="en-US"/>
      </w:rPr>
    </w:pPr>
    <w:r w:rsidRPr="00C46C06">
      <w:t>CEDAW/C/NER/CO/3-4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2DF6"/>
    <w:multiLevelType w:val="hybridMultilevel"/>
    <w:tmpl w:val="D7D2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E11AE6"/>
    <w:multiLevelType w:val="hybridMultilevel"/>
    <w:tmpl w:val="2A86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C06ED5"/>
    <w:multiLevelType w:val="hybridMultilevel"/>
    <w:tmpl w:val="6BD2E8BA"/>
    <w:lvl w:ilvl="0" w:tplc="8EBAF520">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4B314FE6"/>
    <w:multiLevelType w:val="hybridMultilevel"/>
    <w:tmpl w:val="392E0E88"/>
    <w:lvl w:ilvl="0" w:tplc="BB96222C">
      <w:start w:val="1"/>
      <w:numFmt w:val="lowerLetter"/>
      <w:lvlText w:val="(%1)"/>
      <w:lvlJc w:val="left"/>
      <w:pPr>
        <w:ind w:left="4890" w:hanging="360"/>
      </w:pPr>
      <w:rPr>
        <w:rFonts w:hint="default"/>
      </w:rPr>
    </w:lvl>
    <w:lvl w:ilvl="1" w:tplc="08090019">
      <w:start w:val="1"/>
      <w:numFmt w:val="lowerLetter"/>
      <w:lvlText w:val="%2."/>
      <w:lvlJc w:val="left"/>
      <w:pPr>
        <w:ind w:left="5610" w:hanging="360"/>
      </w:pPr>
    </w:lvl>
    <w:lvl w:ilvl="2" w:tplc="0809001B" w:tentative="1">
      <w:start w:val="1"/>
      <w:numFmt w:val="lowerRoman"/>
      <w:lvlText w:val="%3."/>
      <w:lvlJc w:val="right"/>
      <w:pPr>
        <w:ind w:left="6330" w:hanging="180"/>
      </w:pPr>
    </w:lvl>
    <w:lvl w:ilvl="3" w:tplc="0809000F" w:tentative="1">
      <w:start w:val="1"/>
      <w:numFmt w:val="decimal"/>
      <w:lvlText w:val="%4."/>
      <w:lvlJc w:val="left"/>
      <w:pPr>
        <w:ind w:left="7050" w:hanging="360"/>
      </w:pPr>
    </w:lvl>
    <w:lvl w:ilvl="4" w:tplc="08090019" w:tentative="1">
      <w:start w:val="1"/>
      <w:numFmt w:val="lowerLetter"/>
      <w:lvlText w:val="%5."/>
      <w:lvlJc w:val="left"/>
      <w:pPr>
        <w:ind w:left="7770" w:hanging="360"/>
      </w:pPr>
    </w:lvl>
    <w:lvl w:ilvl="5" w:tplc="0809001B" w:tentative="1">
      <w:start w:val="1"/>
      <w:numFmt w:val="lowerRoman"/>
      <w:lvlText w:val="%6."/>
      <w:lvlJc w:val="right"/>
      <w:pPr>
        <w:ind w:left="8490" w:hanging="180"/>
      </w:pPr>
    </w:lvl>
    <w:lvl w:ilvl="6" w:tplc="0809000F" w:tentative="1">
      <w:start w:val="1"/>
      <w:numFmt w:val="decimal"/>
      <w:lvlText w:val="%7."/>
      <w:lvlJc w:val="left"/>
      <w:pPr>
        <w:ind w:left="9210" w:hanging="360"/>
      </w:pPr>
    </w:lvl>
    <w:lvl w:ilvl="7" w:tplc="08090019" w:tentative="1">
      <w:start w:val="1"/>
      <w:numFmt w:val="lowerLetter"/>
      <w:lvlText w:val="%8."/>
      <w:lvlJc w:val="left"/>
      <w:pPr>
        <w:ind w:left="9930" w:hanging="360"/>
      </w:pPr>
    </w:lvl>
    <w:lvl w:ilvl="8" w:tplc="0809001B" w:tentative="1">
      <w:start w:val="1"/>
      <w:numFmt w:val="lowerRoman"/>
      <w:lvlText w:val="%9."/>
      <w:lvlJc w:val="right"/>
      <w:pPr>
        <w:ind w:left="10650" w:hanging="180"/>
      </w:pPr>
    </w:lvl>
  </w:abstractNum>
  <w:abstractNum w:abstractNumId="18" w15:restartNumberingAfterBreak="0">
    <w:nsid w:val="55097DF9"/>
    <w:multiLevelType w:val="hybridMultilevel"/>
    <w:tmpl w:val="BF2479C8"/>
    <w:lvl w:ilvl="0" w:tplc="A0E4E5BA">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25D77"/>
    <w:multiLevelType w:val="hybridMultilevel"/>
    <w:tmpl w:val="3CF4AA44"/>
    <w:lvl w:ilvl="0" w:tplc="ADB486F0">
      <w:start w:val="1"/>
      <w:numFmt w:val="lowerLetter"/>
      <w:lvlText w:val="(%1)"/>
      <w:lvlJc w:val="left"/>
      <w:pPr>
        <w:ind w:left="3467" w:hanging="360"/>
      </w:pPr>
      <w:rPr>
        <w:rFonts w:hint="default"/>
      </w:rPr>
    </w:lvl>
    <w:lvl w:ilvl="1" w:tplc="08090019">
      <w:start w:val="1"/>
      <w:numFmt w:val="lowerLetter"/>
      <w:lvlText w:val="%2."/>
      <w:lvlJc w:val="left"/>
      <w:pPr>
        <w:ind w:left="4187" w:hanging="360"/>
      </w:pPr>
    </w:lvl>
    <w:lvl w:ilvl="2" w:tplc="0809001B" w:tentative="1">
      <w:start w:val="1"/>
      <w:numFmt w:val="lowerRoman"/>
      <w:lvlText w:val="%3."/>
      <w:lvlJc w:val="right"/>
      <w:pPr>
        <w:ind w:left="4907" w:hanging="180"/>
      </w:pPr>
    </w:lvl>
    <w:lvl w:ilvl="3" w:tplc="0809000F" w:tentative="1">
      <w:start w:val="1"/>
      <w:numFmt w:val="decimal"/>
      <w:lvlText w:val="%4."/>
      <w:lvlJc w:val="left"/>
      <w:pPr>
        <w:ind w:left="5627" w:hanging="360"/>
      </w:pPr>
    </w:lvl>
    <w:lvl w:ilvl="4" w:tplc="08090019" w:tentative="1">
      <w:start w:val="1"/>
      <w:numFmt w:val="lowerLetter"/>
      <w:lvlText w:val="%5."/>
      <w:lvlJc w:val="left"/>
      <w:pPr>
        <w:ind w:left="6347" w:hanging="360"/>
      </w:pPr>
    </w:lvl>
    <w:lvl w:ilvl="5" w:tplc="0809001B" w:tentative="1">
      <w:start w:val="1"/>
      <w:numFmt w:val="lowerRoman"/>
      <w:lvlText w:val="%6."/>
      <w:lvlJc w:val="right"/>
      <w:pPr>
        <w:ind w:left="7067" w:hanging="180"/>
      </w:pPr>
    </w:lvl>
    <w:lvl w:ilvl="6" w:tplc="0809000F" w:tentative="1">
      <w:start w:val="1"/>
      <w:numFmt w:val="decimal"/>
      <w:lvlText w:val="%7."/>
      <w:lvlJc w:val="left"/>
      <w:pPr>
        <w:ind w:left="7787" w:hanging="360"/>
      </w:pPr>
    </w:lvl>
    <w:lvl w:ilvl="7" w:tplc="08090019" w:tentative="1">
      <w:start w:val="1"/>
      <w:numFmt w:val="lowerLetter"/>
      <w:lvlText w:val="%8."/>
      <w:lvlJc w:val="left"/>
      <w:pPr>
        <w:ind w:left="8507" w:hanging="360"/>
      </w:pPr>
    </w:lvl>
    <w:lvl w:ilvl="8" w:tplc="0809001B" w:tentative="1">
      <w:start w:val="1"/>
      <w:numFmt w:val="lowerRoman"/>
      <w:lvlText w:val="%9."/>
      <w:lvlJc w:val="right"/>
      <w:pPr>
        <w:ind w:left="9227" w:hanging="180"/>
      </w:pPr>
    </w:lvl>
  </w:abstractNum>
  <w:abstractNum w:abstractNumId="22" w15:restartNumberingAfterBreak="0">
    <w:nsid w:val="7E4911BC"/>
    <w:multiLevelType w:val="hybridMultilevel"/>
    <w:tmpl w:val="44F00F46"/>
    <w:lvl w:ilvl="0" w:tplc="6BEA75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2"/>
  </w:num>
  <w:num w:numId="14">
    <w:abstractNumId w:val="11"/>
  </w:num>
  <w:num w:numId="15">
    <w:abstractNumId w:val="20"/>
  </w:num>
  <w:num w:numId="16">
    <w:abstractNumId w:val="14"/>
  </w:num>
  <w:num w:numId="17">
    <w:abstractNumId w:val="13"/>
  </w:num>
  <w:num w:numId="18">
    <w:abstractNumId w:val="10"/>
  </w:num>
  <w:num w:numId="19">
    <w:abstractNumId w:val="21"/>
  </w:num>
  <w:num w:numId="20">
    <w:abstractNumId w:val="16"/>
  </w:num>
  <w:num w:numId="21">
    <w:abstractNumId w:val="18"/>
  </w:num>
  <w:num w:numId="22">
    <w:abstractNumId w:val="17"/>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Q82ldjlsje5r5PGPYkJ9uvjkyEw=" w:salt="w31yVMYyvQhXAFh2Bl4jNw=="/>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30"/>
    <w:rsid w:val="000042E6"/>
    <w:rsid w:val="00025A64"/>
    <w:rsid w:val="00032FF2"/>
    <w:rsid w:val="00040CEF"/>
    <w:rsid w:val="00041A5B"/>
    <w:rsid w:val="00050F6B"/>
    <w:rsid w:val="000551DC"/>
    <w:rsid w:val="00055E03"/>
    <w:rsid w:val="0006100D"/>
    <w:rsid w:val="00061A2A"/>
    <w:rsid w:val="00062864"/>
    <w:rsid w:val="00072C8C"/>
    <w:rsid w:val="000733B5"/>
    <w:rsid w:val="00077485"/>
    <w:rsid w:val="00092DFB"/>
    <w:rsid w:val="00092F51"/>
    <w:rsid w:val="000931C0"/>
    <w:rsid w:val="00094C08"/>
    <w:rsid w:val="000A5D3B"/>
    <w:rsid w:val="000A5EF4"/>
    <w:rsid w:val="000A6198"/>
    <w:rsid w:val="000A702D"/>
    <w:rsid w:val="000B0738"/>
    <w:rsid w:val="000B175B"/>
    <w:rsid w:val="000B3A0F"/>
    <w:rsid w:val="000B4EF7"/>
    <w:rsid w:val="000B677A"/>
    <w:rsid w:val="000C1462"/>
    <w:rsid w:val="000C2D2E"/>
    <w:rsid w:val="000D5BE3"/>
    <w:rsid w:val="000D6856"/>
    <w:rsid w:val="000E0415"/>
    <w:rsid w:val="000E115E"/>
    <w:rsid w:val="000E7267"/>
    <w:rsid w:val="000E784A"/>
    <w:rsid w:val="000F136B"/>
    <w:rsid w:val="000F79D5"/>
    <w:rsid w:val="00101A5A"/>
    <w:rsid w:val="00103788"/>
    <w:rsid w:val="001071CE"/>
    <w:rsid w:val="001103AA"/>
    <w:rsid w:val="001179AD"/>
    <w:rsid w:val="00121743"/>
    <w:rsid w:val="001218A6"/>
    <w:rsid w:val="0013179E"/>
    <w:rsid w:val="001348FA"/>
    <w:rsid w:val="001419DD"/>
    <w:rsid w:val="0015030B"/>
    <w:rsid w:val="00154869"/>
    <w:rsid w:val="00155467"/>
    <w:rsid w:val="00160136"/>
    <w:rsid w:val="00160965"/>
    <w:rsid w:val="00180D95"/>
    <w:rsid w:val="001869D8"/>
    <w:rsid w:val="0018711F"/>
    <w:rsid w:val="001B072C"/>
    <w:rsid w:val="001B491B"/>
    <w:rsid w:val="001B4B04"/>
    <w:rsid w:val="001B622A"/>
    <w:rsid w:val="001B6FC4"/>
    <w:rsid w:val="001B7ECF"/>
    <w:rsid w:val="001C453A"/>
    <w:rsid w:val="001C6663"/>
    <w:rsid w:val="001C7895"/>
    <w:rsid w:val="001D26DF"/>
    <w:rsid w:val="001D2F63"/>
    <w:rsid w:val="001D67E7"/>
    <w:rsid w:val="001E5AA0"/>
    <w:rsid w:val="001E7167"/>
    <w:rsid w:val="001F3186"/>
    <w:rsid w:val="00202DA8"/>
    <w:rsid w:val="002113C0"/>
    <w:rsid w:val="00211E0B"/>
    <w:rsid w:val="002128F6"/>
    <w:rsid w:val="00223669"/>
    <w:rsid w:val="00227538"/>
    <w:rsid w:val="002337EB"/>
    <w:rsid w:val="002340A5"/>
    <w:rsid w:val="00245A7E"/>
    <w:rsid w:val="00245BFF"/>
    <w:rsid w:val="0024614F"/>
    <w:rsid w:val="00256298"/>
    <w:rsid w:val="00261638"/>
    <w:rsid w:val="00261879"/>
    <w:rsid w:val="0027350F"/>
    <w:rsid w:val="002834CE"/>
    <w:rsid w:val="002943DF"/>
    <w:rsid w:val="002A04D2"/>
    <w:rsid w:val="002A35EC"/>
    <w:rsid w:val="002B0464"/>
    <w:rsid w:val="002B0833"/>
    <w:rsid w:val="002B6071"/>
    <w:rsid w:val="002B65D9"/>
    <w:rsid w:val="002C6D5C"/>
    <w:rsid w:val="002D7B0D"/>
    <w:rsid w:val="002E1502"/>
    <w:rsid w:val="002E1DE4"/>
    <w:rsid w:val="002E4602"/>
    <w:rsid w:val="002F175C"/>
    <w:rsid w:val="002F20CB"/>
    <w:rsid w:val="00302A30"/>
    <w:rsid w:val="00302D0A"/>
    <w:rsid w:val="00307DBF"/>
    <w:rsid w:val="003106D0"/>
    <w:rsid w:val="0032021C"/>
    <w:rsid w:val="003229D8"/>
    <w:rsid w:val="00323DB6"/>
    <w:rsid w:val="003305AB"/>
    <w:rsid w:val="00333817"/>
    <w:rsid w:val="0033573C"/>
    <w:rsid w:val="00352709"/>
    <w:rsid w:val="00354E01"/>
    <w:rsid w:val="00371178"/>
    <w:rsid w:val="00371DA4"/>
    <w:rsid w:val="00380D32"/>
    <w:rsid w:val="003810FE"/>
    <w:rsid w:val="0038206B"/>
    <w:rsid w:val="00385A59"/>
    <w:rsid w:val="00387E82"/>
    <w:rsid w:val="003978E0"/>
    <w:rsid w:val="003A12AC"/>
    <w:rsid w:val="003A3BA6"/>
    <w:rsid w:val="003A4810"/>
    <w:rsid w:val="003A6120"/>
    <w:rsid w:val="003A6810"/>
    <w:rsid w:val="003B093E"/>
    <w:rsid w:val="003C2CC4"/>
    <w:rsid w:val="003C30C7"/>
    <w:rsid w:val="003C3C13"/>
    <w:rsid w:val="003C72FE"/>
    <w:rsid w:val="003D30CF"/>
    <w:rsid w:val="003D3449"/>
    <w:rsid w:val="003D4B23"/>
    <w:rsid w:val="003E4056"/>
    <w:rsid w:val="003E5BA6"/>
    <w:rsid w:val="003E7C44"/>
    <w:rsid w:val="003F24C2"/>
    <w:rsid w:val="00401720"/>
    <w:rsid w:val="00405DDC"/>
    <w:rsid w:val="00410C89"/>
    <w:rsid w:val="004159AC"/>
    <w:rsid w:val="00422552"/>
    <w:rsid w:val="00430393"/>
    <w:rsid w:val="004325CB"/>
    <w:rsid w:val="00451BCC"/>
    <w:rsid w:val="0045495B"/>
    <w:rsid w:val="00467707"/>
    <w:rsid w:val="00470B9D"/>
    <w:rsid w:val="004739B0"/>
    <w:rsid w:val="00476738"/>
    <w:rsid w:val="00483556"/>
    <w:rsid w:val="004856EA"/>
    <w:rsid w:val="004875CA"/>
    <w:rsid w:val="00490E1A"/>
    <w:rsid w:val="00494A89"/>
    <w:rsid w:val="004A5B5D"/>
    <w:rsid w:val="004B34D0"/>
    <w:rsid w:val="004D0C2E"/>
    <w:rsid w:val="004D25E4"/>
    <w:rsid w:val="004D2AC8"/>
    <w:rsid w:val="004D3D2F"/>
    <w:rsid w:val="004D3F40"/>
    <w:rsid w:val="004F516C"/>
    <w:rsid w:val="00502F91"/>
    <w:rsid w:val="00517B36"/>
    <w:rsid w:val="00521B0F"/>
    <w:rsid w:val="005320D3"/>
    <w:rsid w:val="005330F7"/>
    <w:rsid w:val="005415D3"/>
    <w:rsid w:val="005420F2"/>
    <w:rsid w:val="00565A26"/>
    <w:rsid w:val="005723E1"/>
    <w:rsid w:val="00580800"/>
    <w:rsid w:val="00587877"/>
    <w:rsid w:val="00587B19"/>
    <w:rsid w:val="005A051D"/>
    <w:rsid w:val="005A3291"/>
    <w:rsid w:val="005B2287"/>
    <w:rsid w:val="005B3DB3"/>
    <w:rsid w:val="005B5E1E"/>
    <w:rsid w:val="005C07C4"/>
    <w:rsid w:val="005C582C"/>
    <w:rsid w:val="005C6818"/>
    <w:rsid w:val="005C6A79"/>
    <w:rsid w:val="005D2697"/>
    <w:rsid w:val="005E23CD"/>
    <w:rsid w:val="005E3DF3"/>
    <w:rsid w:val="005F149F"/>
    <w:rsid w:val="005F1BEF"/>
    <w:rsid w:val="005F1F8F"/>
    <w:rsid w:val="005F658F"/>
    <w:rsid w:val="006001EE"/>
    <w:rsid w:val="00600215"/>
    <w:rsid w:val="00600AA5"/>
    <w:rsid w:val="00611FC4"/>
    <w:rsid w:val="00613CD9"/>
    <w:rsid w:val="00616471"/>
    <w:rsid w:val="006176FB"/>
    <w:rsid w:val="00624D0D"/>
    <w:rsid w:val="00626A21"/>
    <w:rsid w:val="006326F0"/>
    <w:rsid w:val="00640B26"/>
    <w:rsid w:val="00643871"/>
    <w:rsid w:val="00646804"/>
    <w:rsid w:val="006531F7"/>
    <w:rsid w:val="00653FD5"/>
    <w:rsid w:val="006570AF"/>
    <w:rsid w:val="00695E20"/>
    <w:rsid w:val="006A01B1"/>
    <w:rsid w:val="006B0241"/>
    <w:rsid w:val="006B4866"/>
    <w:rsid w:val="006B4BDB"/>
    <w:rsid w:val="006D1AA4"/>
    <w:rsid w:val="006D60BB"/>
    <w:rsid w:val="006D66CA"/>
    <w:rsid w:val="006E564B"/>
    <w:rsid w:val="006F74FD"/>
    <w:rsid w:val="007034E5"/>
    <w:rsid w:val="00716F03"/>
    <w:rsid w:val="0072632A"/>
    <w:rsid w:val="00734DAE"/>
    <w:rsid w:val="00736716"/>
    <w:rsid w:val="00742571"/>
    <w:rsid w:val="00744601"/>
    <w:rsid w:val="007452CC"/>
    <w:rsid w:val="0075018C"/>
    <w:rsid w:val="0075047C"/>
    <w:rsid w:val="00752D6D"/>
    <w:rsid w:val="007553F6"/>
    <w:rsid w:val="00760246"/>
    <w:rsid w:val="00760C0F"/>
    <w:rsid w:val="007718AD"/>
    <w:rsid w:val="00782128"/>
    <w:rsid w:val="00783D0A"/>
    <w:rsid w:val="00785144"/>
    <w:rsid w:val="00787A6F"/>
    <w:rsid w:val="00793C3F"/>
    <w:rsid w:val="00794774"/>
    <w:rsid w:val="007B112D"/>
    <w:rsid w:val="007B6BA5"/>
    <w:rsid w:val="007C3390"/>
    <w:rsid w:val="007C3644"/>
    <w:rsid w:val="007C4F4B"/>
    <w:rsid w:val="007D40F2"/>
    <w:rsid w:val="007E0F2D"/>
    <w:rsid w:val="007E143D"/>
    <w:rsid w:val="007E2A10"/>
    <w:rsid w:val="007E5685"/>
    <w:rsid w:val="007E61A6"/>
    <w:rsid w:val="007F036B"/>
    <w:rsid w:val="007F3240"/>
    <w:rsid w:val="007F4466"/>
    <w:rsid w:val="007F6462"/>
    <w:rsid w:val="007F6611"/>
    <w:rsid w:val="007F7097"/>
    <w:rsid w:val="00802FD0"/>
    <w:rsid w:val="00806A01"/>
    <w:rsid w:val="0081722E"/>
    <w:rsid w:val="00820286"/>
    <w:rsid w:val="008242D7"/>
    <w:rsid w:val="00832D01"/>
    <w:rsid w:val="008426D4"/>
    <w:rsid w:val="008476A0"/>
    <w:rsid w:val="008606C0"/>
    <w:rsid w:val="00860B80"/>
    <w:rsid w:val="0086422A"/>
    <w:rsid w:val="00864237"/>
    <w:rsid w:val="00864769"/>
    <w:rsid w:val="00865234"/>
    <w:rsid w:val="008841D8"/>
    <w:rsid w:val="00886551"/>
    <w:rsid w:val="0088681D"/>
    <w:rsid w:val="008979B1"/>
    <w:rsid w:val="008A11B8"/>
    <w:rsid w:val="008A3A6A"/>
    <w:rsid w:val="008A6B25"/>
    <w:rsid w:val="008A6C4F"/>
    <w:rsid w:val="008B2335"/>
    <w:rsid w:val="008B3602"/>
    <w:rsid w:val="008B73C5"/>
    <w:rsid w:val="008C67B6"/>
    <w:rsid w:val="008D10AB"/>
    <w:rsid w:val="008D2AE1"/>
    <w:rsid w:val="008D36B3"/>
    <w:rsid w:val="008E0548"/>
    <w:rsid w:val="008E2F68"/>
    <w:rsid w:val="008F2F00"/>
    <w:rsid w:val="008F4B57"/>
    <w:rsid w:val="009048FB"/>
    <w:rsid w:val="009100E1"/>
    <w:rsid w:val="00913968"/>
    <w:rsid w:val="009223CA"/>
    <w:rsid w:val="0093115D"/>
    <w:rsid w:val="009369F6"/>
    <w:rsid w:val="00940F93"/>
    <w:rsid w:val="00952F58"/>
    <w:rsid w:val="009603EF"/>
    <w:rsid w:val="00961D3C"/>
    <w:rsid w:val="00964121"/>
    <w:rsid w:val="00973834"/>
    <w:rsid w:val="009761A6"/>
    <w:rsid w:val="009820DA"/>
    <w:rsid w:val="0099480D"/>
    <w:rsid w:val="00994B9F"/>
    <w:rsid w:val="009956F0"/>
    <w:rsid w:val="009A16E9"/>
    <w:rsid w:val="009A69A3"/>
    <w:rsid w:val="009A6FFE"/>
    <w:rsid w:val="009B1E73"/>
    <w:rsid w:val="009B3BCA"/>
    <w:rsid w:val="009B4A1B"/>
    <w:rsid w:val="009C0EE8"/>
    <w:rsid w:val="009C14AA"/>
    <w:rsid w:val="009C1B42"/>
    <w:rsid w:val="009C1BCB"/>
    <w:rsid w:val="009D1364"/>
    <w:rsid w:val="009D6E49"/>
    <w:rsid w:val="009E615E"/>
    <w:rsid w:val="009F14A0"/>
    <w:rsid w:val="00A01489"/>
    <w:rsid w:val="00A01513"/>
    <w:rsid w:val="00A02D35"/>
    <w:rsid w:val="00A16F8B"/>
    <w:rsid w:val="00A21AD8"/>
    <w:rsid w:val="00A23167"/>
    <w:rsid w:val="00A254E8"/>
    <w:rsid w:val="00A31C53"/>
    <w:rsid w:val="00A33FE0"/>
    <w:rsid w:val="00A36890"/>
    <w:rsid w:val="00A37204"/>
    <w:rsid w:val="00A4245E"/>
    <w:rsid w:val="00A537ED"/>
    <w:rsid w:val="00A60766"/>
    <w:rsid w:val="00A61CCD"/>
    <w:rsid w:val="00A72F22"/>
    <w:rsid w:val="00A748A6"/>
    <w:rsid w:val="00A776B4"/>
    <w:rsid w:val="00A8042A"/>
    <w:rsid w:val="00A8146B"/>
    <w:rsid w:val="00A91C1C"/>
    <w:rsid w:val="00A94361"/>
    <w:rsid w:val="00A968D7"/>
    <w:rsid w:val="00A96B53"/>
    <w:rsid w:val="00AA2A25"/>
    <w:rsid w:val="00AB2127"/>
    <w:rsid w:val="00AB298B"/>
    <w:rsid w:val="00AB6883"/>
    <w:rsid w:val="00AC1552"/>
    <w:rsid w:val="00AC5790"/>
    <w:rsid w:val="00AC7D97"/>
    <w:rsid w:val="00AE48C5"/>
    <w:rsid w:val="00AE6D2D"/>
    <w:rsid w:val="00B041A5"/>
    <w:rsid w:val="00B06775"/>
    <w:rsid w:val="00B202E5"/>
    <w:rsid w:val="00B226AC"/>
    <w:rsid w:val="00B230A5"/>
    <w:rsid w:val="00B23E17"/>
    <w:rsid w:val="00B30179"/>
    <w:rsid w:val="00B32DB0"/>
    <w:rsid w:val="00B543C5"/>
    <w:rsid w:val="00B55CFF"/>
    <w:rsid w:val="00B569D7"/>
    <w:rsid w:val="00B56E9C"/>
    <w:rsid w:val="00B56F96"/>
    <w:rsid w:val="00B64B1F"/>
    <w:rsid w:val="00B6553F"/>
    <w:rsid w:val="00B67C80"/>
    <w:rsid w:val="00B800D9"/>
    <w:rsid w:val="00B81E12"/>
    <w:rsid w:val="00B83D5B"/>
    <w:rsid w:val="00B92F48"/>
    <w:rsid w:val="00BA0BFF"/>
    <w:rsid w:val="00BA285F"/>
    <w:rsid w:val="00BA67A5"/>
    <w:rsid w:val="00BB7836"/>
    <w:rsid w:val="00BC4E53"/>
    <w:rsid w:val="00BC6063"/>
    <w:rsid w:val="00BC74E9"/>
    <w:rsid w:val="00BC7D1F"/>
    <w:rsid w:val="00BE04EB"/>
    <w:rsid w:val="00BE2A6B"/>
    <w:rsid w:val="00BE2EBC"/>
    <w:rsid w:val="00BE3FEE"/>
    <w:rsid w:val="00BF4CEB"/>
    <w:rsid w:val="00BF5590"/>
    <w:rsid w:val="00BF68A8"/>
    <w:rsid w:val="00BF6EA5"/>
    <w:rsid w:val="00C00515"/>
    <w:rsid w:val="00C015B1"/>
    <w:rsid w:val="00C03489"/>
    <w:rsid w:val="00C06099"/>
    <w:rsid w:val="00C06530"/>
    <w:rsid w:val="00C26945"/>
    <w:rsid w:val="00C31BCA"/>
    <w:rsid w:val="00C3206E"/>
    <w:rsid w:val="00C41699"/>
    <w:rsid w:val="00C459BF"/>
    <w:rsid w:val="00C463DD"/>
    <w:rsid w:val="00C46C06"/>
    <w:rsid w:val="00C4724C"/>
    <w:rsid w:val="00C475AB"/>
    <w:rsid w:val="00C53375"/>
    <w:rsid w:val="00C53A77"/>
    <w:rsid w:val="00C57B82"/>
    <w:rsid w:val="00C629A0"/>
    <w:rsid w:val="00C64F5F"/>
    <w:rsid w:val="00C66D7B"/>
    <w:rsid w:val="00C6729E"/>
    <w:rsid w:val="00C715C9"/>
    <w:rsid w:val="00C745C3"/>
    <w:rsid w:val="00C75FB9"/>
    <w:rsid w:val="00C80754"/>
    <w:rsid w:val="00C80F3D"/>
    <w:rsid w:val="00C90533"/>
    <w:rsid w:val="00CA6224"/>
    <w:rsid w:val="00CB4EF6"/>
    <w:rsid w:val="00CC00AC"/>
    <w:rsid w:val="00CC24D2"/>
    <w:rsid w:val="00CC507E"/>
    <w:rsid w:val="00CC71F5"/>
    <w:rsid w:val="00CC7423"/>
    <w:rsid w:val="00CD75E9"/>
    <w:rsid w:val="00CE4A8F"/>
    <w:rsid w:val="00CF03A9"/>
    <w:rsid w:val="00CF59D0"/>
    <w:rsid w:val="00CF75E8"/>
    <w:rsid w:val="00D00E69"/>
    <w:rsid w:val="00D044D5"/>
    <w:rsid w:val="00D137C0"/>
    <w:rsid w:val="00D16611"/>
    <w:rsid w:val="00D1689F"/>
    <w:rsid w:val="00D2031B"/>
    <w:rsid w:val="00D218CB"/>
    <w:rsid w:val="00D25FE2"/>
    <w:rsid w:val="00D419E2"/>
    <w:rsid w:val="00D43252"/>
    <w:rsid w:val="00D437D3"/>
    <w:rsid w:val="00D46C2F"/>
    <w:rsid w:val="00D50B00"/>
    <w:rsid w:val="00D51E7F"/>
    <w:rsid w:val="00D56383"/>
    <w:rsid w:val="00D602E1"/>
    <w:rsid w:val="00D61C30"/>
    <w:rsid w:val="00D62520"/>
    <w:rsid w:val="00D7296E"/>
    <w:rsid w:val="00D75070"/>
    <w:rsid w:val="00D7767E"/>
    <w:rsid w:val="00D812EE"/>
    <w:rsid w:val="00D86F23"/>
    <w:rsid w:val="00D87D87"/>
    <w:rsid w:val="00D9263C"/>
    <w:rsid w:val="00D978C6"/>
    <w:rsid w:val="00DA08EB"/>
    <w:rsid w:val="00DA33C4"/>
    <w:rsid w:val="00DA3C1C"/>
    <w:rsid w:val="00DC43DA"/>
    <w:rsid w:val="00DD5728"/>
    <w:rsid w:val="00DD5E99"/>
    <w:rsid w:val="00DE0130"/>
    <w:rsid w:val="00DE44DB"/>
    <w:rsid w:val="00DE6BE0"/>
    <w:rsid w:val="00DE7795"/>
    <w:rsid w:val="00DF199E"/>
    <w:rsid w:val="00DF301E"/>
    <w:rsid w:val="00DF33CE"/>
    <w:rsid w:val="00DF3758"/>
    <w:rsid w:val="00E109FB"/>
    <w:rsid w:val="00E16458"/>
    <w:rsid w:val="00E17C96"/>
    <w:rsid w:val="00E20A6E"/>
    <w:rsid w:val="00E212FD"/>
    <w:rsid w:val="00E2317C"/>
    <w:rsid w:val="00E3510B"/>
    <w:rsid w:val="00E50D00"/>
    <w:rsid w:val="00E56873"/>
    <w:rsid w:val="00E61D3D"/>
    <w:rsid w:val="00E625DC"/>
    <w:rsid w:val="00E63389"/>
    <w:rsid w:val="00E71BC8"/>
    <w:rsid w:val="00E7260F"/>
    <w:rsid w:val="00E92227"/>
    <w:rsid w:val="00E96630"/>
    <w:rsid w:val="00E97546"/>
    <w:rsid w:val="00EA008E"/>
    <w:rsid w:val="00EC1582"/>
    <w:rsid w:val="00EC1D30"/>
    <w:rsid w:val="00EC3A6E"/>
    <w:rsid w:val="00ED11D6"/>
    <w:rsid w:val="00ED1A82"/>
    <w:rsid w:val="00ED32A3"/>
    <w:rsid w:val="00ED616A"/>
    <w:rsid w:val="00ED7A2A"/>
    <w:rsid w:val="00EE15E3"/>
    <w:rsid w:val="00EE58EA"/>
    <w:rsid w:val="00EE5D7A"/>
    <w:rsid w:val="00EE6E3F"/>
    <w:rsid w:val="00EF1D7F"/>
    <w:rsid w:val="00EF1DB6"/>
    <w:rsid w:val="00EF2DC2"/>
    <w:rsid w:val="00F02042"/>
    <w:rsid w:val="00F02227"/>
    <w:rsid w:val="00F0244C"/>
    <w:rsid w:val="00F127A1"/>
    <w:rsid w:val="00F21973"/>
    <w:rsid w:val="00F24AED"/>
    <w:rsid w:val="00F25AAF"/>
    <w:rsid w:val="00F30CA5"/>
    <w:rsid w:val="00F32B3C"/>
    <w:rsid w:val="00F343B3"/>
    <w:rsid w:val="00F34583"/>
    <w:rsid w:val="00F40054"/>
    <w:rsid w:val="00F416ED"/>
    <w:rsid w:val="00F504DF"/>
    <w:rsid w:val="00F51AD2"/>
    <w:rsid w:val="00F55268"/>
    <w:rsid w:val="00F568F0"/>
    <w:rsid w:val="00F6162C"/>
    <w:rsid w:val="00F63C4F"/>
    <w:rsid w:val="00F66599"/>
    <w:rsid w:val="00F67BE2"/>
    <w:rsid w:val="00F70234"/>
    <w:rsid w:val="00F72CF5"/>
    <w:rsid w:val="00F82EF8"/>
    <w:rsid w:val="00F91AC9"/>
    <w:rsid w:val="00F95B5A"/>
    <w:rsid w:val="00F970A9"/>
    <w:rsid w:val="00FA0266"/>
    <w:rsid w:val="00FA271C"/>
    <w:rsid w:val="00FA3B85"/>
    <w:rsid w:val="00FB11B4"/>
    <w:rsid w:val="00FB78C3"/>
    <w:rsid w:val="00FC2B0D"/>
    <w:rsid w:val="00FC2F3C"/>
    <w:rsid w:val="00FC68B7"/>
    <w:rsid w:val="00FE4A0C"/>
    <w:rsid w:val="00FF542F"/>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714D8F"/>
  <w15:docId w15:val="{1E9CF77A-9640-476D-BA04-1C609C9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8E0548"/>
    <w:pPr>
      <w:spacing w:line="240" w:lineRule="auto"/>
    </w:pPr>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Ref,de nota al pie,Footnote Reference Number"/>
    <w:basedOn w:val="DefaultParagraphFont"/>
    <w:qFormat/>
    <w:rsid w:val="00E61D3D"/>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link w:val="EndnoteTextChar"/>
    <w:qFormat/>
    <w:rsid w:val="00E61D3D"/>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302A30"/>
    <w:rPr>
      <w:sz w:val="18"/>
      <w:lang w:val="en-GB" w:eastAsia="en-US"/>
    </w:rPr>
  </w:style>
  <w:style w:type="paragraph" w:customStyle="1" w:styleId="H1">
    <w:name w:val="_ H_1"/>
    <w:basedOn w:val="Normal"/>
    <w:next w:val="Normal"/>
    <w:rsid w:val="00302A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SingleTxtGChar">
    <w:name w:val="_ Single Txt_G Char"/>
    <w:link w:val="SingleTxtG"/>
    <w:locked/>
    <w:rsid w:val="00EE6E3F"/>
    <w:rPr>
      <w:lang w:val="en-GB" w:eastAsia="en-US"/>
    </w:rPr>
  </w:style>
  <w:style w:type="paragraph" w:customStyle="1" w:styleId="H23">
    <w:name w:val="_ H_2/3"/>
    <w:basedOn w:val="Normal"/>
    <w:next w:val="SingleTxt"/>
    <w:rsid w:val="00EE6E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customStyle="1" w:styleId="SingleTxt">
    <w:name w:val="__Single Txt"/>
    <w:basedOn w:val="Normal"/>
    <w:rsid w:val="00EE6E3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MS Mincho"/>
      <w:spacing w:val="4"/>
      <w:w w:val="103"/>
      <w:kern w:val="14"/>
    </w:rPr>
  </w:style>
  <w:style w:type="paragraph" w:customStyle="1" w:styleId="Default">
    <w:name w:val="Default"/>
    <w:rsid w:val="00EE6E3F"/>
    <w:pPr>
      <w:autoSpaceDE w:val="0"/>
      <w:autoSpaceDN w:val="0"/>
      <w:adjustRightInd w:val="0"/>
    </w:pPr>
    <w:rPr>
      <w:rFonts w:eastAsia="MS Mincho"/>
      <w:color w:val="000000"/>
      <w:sz w:val="24"/>
      <w:szCs w:val="24"/>
      <w:lang w:val="en-GB" w:eastAsia="en-GB"/>
    </w:rPr>
  </w:style>
  <w:style w:type="paragraph" w:styleId="CommentSubject">
    <w:name w:val="annotation subject"/>
    <w:basedOn w:val="CommentText"/>
    <w:next w:val="CommentText"/>
    <w:link w:val="CommentSubjectChar"/>
    <w:rsid w:val="00EE6E3F"/>
    <w:rPr>
      <w:rFonts w:eastAsia="MS Mincho"/>
      <w:b/>
      <w:bCs/>
    </w:rPr>
  </w:style>
  <w:style w:type="character" w:customStyle="1" w:styleId="CommentTextChar">
    <w:name w:val="Comment Text Char"/>
    <w:basedOn w:val="DefaultParagraphFont"/>
    <w:link w:val="CommentText"/>
    <w:semiHidden/>
    <w:rsid w:val="00EE6E3F"/>
    <w:rPr>
      <w:lang w:val="en-GB" w:eastAsia="en-US"/>
    </w:rPr>
  </w:style>
  <w:style w:type="character" w:customStyle="1" w:styleId="CommentSubjectChar">
    <w:name w:val="Comment Subject Char"/>
    <w:basedOn w:val="CommentTextChar"/>
    <w:link w:val="CommentSubject"/>
    <w:rsid w:val="00EE6E3F"/>
    <w:rPr>
      <w:rFonts w:eastAsia="MS Mincho"/>
      <w:b/>
      <w:bCs/>
      <w:lang w:val="en-GB" w:eastAsia="en-US"/>
    </w:rPr>
  </w:style>
  <w:style w:type="paragraph" w:styleId="Revision">
    <w:name w:val="Revision"/>
    <w:hidden/>
    <w:uiPriority w:val="99"/>
    <w:semiHidden/>
    <w:rsid w:val="00EE6E3F"/>
    <w:rPr>
      <w:rFonts w:eastAsia="MS Mincho"/>
      <w:lang w:val="en-GB" w:eastAsia="en-US"/>
    </w:rPr>
  </w:style>
  <w:style w:type="paragraph" w:styleId="ListParagraph">
    <w:name w:val="List Paragraph"/>
    <w:basedOn w:val="Normal"/>
    <w:uiPriority w:val="34"/>
    <w:qFormat/>
    <w:rsid w:val="00EE6E3F"/>
    <w:pPr>
      <w:ind w:left="720"/>
      <w:contextualSpacing/>
    </w:pPr>
    <w:rPr>
      <w:rFonts w:eastAsia="MS Mincho"/>
    </w:rPr>
  </w:style>
  <w:style w:type="character" w:customStyle="1" w:styleId="EndnoteTextChar">
    <w:name w:val="Endnote Text Char"/>
    <w:aliases w:val="2_G Char"/>
    <w:link w:val="EndnoteText"/>
    <w:rsid w:val="00EE6E3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CCC9-839E-4420-BC4C-9974E463097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BBF5762C-8121-4C72-A96C-CA20B2D39142}">
  <ds:schemaRefs>
    <ds:schemaRef ds:uri="http://schemas.microsoft.com/sharepoint/v3/contenttype/forms"/>
  </ds:schemaRefs>
</ds:datastoreItem>
</file>

<file path=customXml/itemProps3.xml><?xml version="1.0" encoding="utf-8"?>
<ds:datastoreItem xmlns:ds="http://schemas.openxmlformats.org/officeDocument/2006/customXml" ds:itemID="{EFEA5B6C-99A9-4C6A-A345-8F84EBB9F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188630-EEB4-4351-A018-3E6373FA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CEDAW_E.dotm</Template>
  <TotalTime>0</TotalTime>
  <Pages>14</Pages>
  <Words>6875</Words>
  <Characters>39194</Characters>
  <Application>Microsoft Office Word</Application>
  <DocSecurity>8</DocSecurity>
  <Lines>326</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CEDAW/C/NER/CO/R.3-4</vt:lpstr>
      <vt:lpstr>United Nations</vt:lpstr>
    </vt:vector>
  </TitlesOfParts>
  <Company>CSD</Company>
  <LinksUpToDate>false</LinksUpToDate>
  <CharactersWithSpaces>45978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CEDAW/C/NER/CO/R.3-4</dc:title>
  <dc:creator>Irene del Pilar Sandoval</dc:creator>
  <cp:lastModifiedBy>Benjamin Villanti</cp:lastModifiedBy>
  <cp:revision>2</cp:revision>
  <cp:lastPrinted>2017-07-19T15:31:00Z</cp:lastPrinted>
  <dcterms:created xsi:type="dcterms:W3CDTF">2017-08-30T15:40:00Z</dcterms:created>
  <dcterms:modified xsi:type="dcterms:W3CDTF">2017-08-30T15:40:00Z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